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52F" w:rsidRPr="00D164B6" w:rsidRDefault="001C352F" w:rsidP="002023DA">
      <w:pPr>
        <w:pStyle w:val="Titolo1"/>
        <w:rPr>
          <w:lang w:val="en-US"/>
        </w:rPr>
      </w:pPr>
      <w:r w:rsidRPr="00D164B6">
        <w:rPr>
          <w:rFonts w:cs="OTNEJMQuadraat-Italic"/>
          <w:i/>
          <w:iCs/>
          <w:sz w:val="30"/>
          <w:szCs w:val="30"/>
          <w:lang w:val="en-US"/>
        </w:rPr>
        <w:t xml:space="preserve">The </w:t>
      </w:r>
      <w:r w:rsidRPr="00D164B6">
        <w:rPr>
          <w:lang w:val="en-US"/>
        </w:rPr>
        <w:t xml:space="preserve">NEW ENGLAND JOURNAL </w:t>
      </w:r>
      <w:r w:rsidRPr="00D164B6">
        <w:rPr>
          <w:rFonts w:cs="OTNEJMQuadraat-Italic"/>
          <w:i/>
          <w:iCs/>
          <w:sz w:val="30"/>
          <w:szCs w:val="30"/>
          <w:lang w:val="en-US"/>
        </w:rPr>
        <w:t xml:space="preserve">of </w:t>
      </w:r>
      <w:r w:rsidRPr="00D164B6">
        <w:rPr>
          <w:lang w:val="en-US"/>
        </w:rPr>
        <w:t>MEDICINE</w:t>
      </w:r>
    </w:p>
    <w:p w:rsidR="001C352F" w:rsidRPr="00D164B6" w:rsidRDefault="001C352F" w:rsidP="00D164B6">
      <w:pPr>
        <w:autoSpaceDE w:val="0"/>
        <w:autoSpaceDN w:val="0"/>
        <w:adjustRightInd w:val="0"/>
        <w:spacing w:after="0" w:line="240" w:lineRule="auto"/>
        <w:contextualSpacing/>
        <w:mirrorIndents/>
        <w:jc w:val="right"/>
        <w:rPr>
          <w:rFonts w:asciiTheme="majorHAnsi" w:hAnsiTheme="majorHAnsi" w:cs="OTNEJMScalaSansLFCap-Bold"/>
          <w:b/>
          <w:bCs/>
          <w:color w:val="548DD4" w:themeColor="text2" w:themeTint="99"/>
          <w:sz w:val="25"/>
          <w:szCs w:val="25"/>
          <w:lang w:val="en-US"/>
        </w:rPr>
      </w:pPr>
      <w:r>
        <w:rPr>
          <w:rFonts w:asciiTheme="majorHAnsi" w:hAnsiTheme="majorHAnsi" w:cs="OTNEJMScalaSansLFCap-Bold"/>
          <w:b/>
          <w:bCs/>
          <w:color w:val="548DD4" w:themeColor="text2" w:themeTint="99"/>
          <w:sz w:val="25"/>
          <w:szCs w:val="25"/>
          <w:lang w:val="en-US"/>
        </w:rPr>
        <w:t>J</w:t>
      </w:r>
      <w:r w:rsidRPr="001C352F">
        <w:rPr>
          <w:rFonts w:asciiTheme="majorHAnsi" w:hAnsiTheme="majorHAnsi" w:cs="OTNEJMScalaSansLFCap-Bold"/>
          <w:b/>
          <w:bCs/>
          <w:color w:val="548DD4" w:themeColor="text2" w:themeTint="99"/>
          <w:sz w:val="25"/>
          <w:szCs w:val="25"/>
          <w:lang w:val="en-US"/>
        </w:rPr>
        <w:t>anuary 10, 2013</w:t>
      </w:r>
      <w:r w:rsidR="00D164B6">
        <w:rPr>
          <w:rFonts w:asciiTheme="majorHAnsi" w:hAnsiTheme="majorHAnsi" w:cs="OTNEJMScalaSansLFCap-Bold"/>
          <w:b/>
          <w:bCs/>
          <w:color w:val="548DD4" w:themeColor="text2" w:themeTint="99"/>
          <w:sz w:val="25"/>
          <w:szCs w:val="25"/>
          <w:lang w:val="en-US"/>
        </w:rPr>
        <w:t xml:space="preserve">                                                                                  </w:t>
      </w:r>
      <w:r w:rsidRPr="001C352F">
        <w:rPr>
          <w:rFonts w:asciiTheme="majorHAnsi" w:hAnsiTheme="majorHAnsi" w:cs="OTNEJMScalaSansLFCap"/>
          <w:color w:val="548DD4" w:themeColor="text2" w:themeTint="99"/>
          <w:sz w:val="15"/>
          <w:szCs w:val="15"/>
          <w:lang w:val="en-US"/>
        </w:rPr>
        <w:t xml:space="preserve">n </w:t>
      </w:r>
      <w:proofErr w:type="spellStart"/>
      <w:r w:rsidRPr="001C352F">
        <w:rPr>
          <w:rFonts w:asciiTheme="majorHAnsi" w:hAnsiTheme="majorHAnsi" w:cs="OTNEJMScalaSansLFCap"/>
          <w:color w:val="548DD4" w:themeColor="text2" w:themeTint="99"/>
          <w:sz w:val="15"/>
          <w:szCs w:val="15"/>
          <w:lang w:val="en-US"/>
        </w:rPr>
        <w:t>engl</w:t>
      </w:r>
      <w:proofErr w:type="spellEnd"/>
      <w:r w:rsidRPr="001C352F">
        <w:rPr>
          <w:rFonts w:asciiTheme="majorHAnsi" w:hAnsiTheme="majorHAnsi" w:cs="OTNEJMScalaSansLFCap"/>
          <w:color w:val="548DD4" w:themeColor="text2" w:themeTint="99"/>
          <w:sz w:val="15"/>
          <w:szCs w:val="15"/>
          <w:lang w:val="en-US"/>
        </w:rPr>
        <w:t xml:space="preserve"> j med </w:t>
      </w:r>
      <w:r w:rsidRPr="001C352F">
        <w:rPr>
          <w:rFonts w:asciiTheme="majorHAnsi" w:hAnsiTheme="majorHAnsi" w:cs="OTNEJMScalaSansOSF"/>
          <w:color w:val="548DD4" w:themeColor="text2" w:themeTint="99"/>
          <w:sz w:val="15"/>
          <w:szCs w:val="15"/>
          <w:lang w:val="en-US"/>
        </w:rPr>
        <w:t xml:space="preserve">368;2 </w:t>
      </w:r>
      <w:r w:rsidRPr="001C352F">
        <w:rPr>
          <w:rFonts w:asciiTheme="majorHAnsi" w:hAnsiTheme="majorHAnsi" w:cs="OTNEJMScalaSansLFCap"/>
          <w:color w:val="548DD4" w:themeColor="text2" w:themeTint="99"/>
          <w:sz w:val="15"/>
          <w:szCs w:val="15"/>
          <w:lang w:val="en-US"/>
        </w:rPr>
        <w:t xml:space="preserve">nejm.org </w:t>
      </w:r>
      <w:proofErr w:type="spellStart"/>
      <w:r w:rsidRPr="001C352F">
        <w:rPr>
          <w:rFonts w:asciiTheme="majorHAnsi" w:hAnsiTheme="majorHAnsi" w:cs="OTNEJMScalaSansLFCap"/>
          <w:color w:val="548DD4" w:themeColor="text2" w:themeTint="99"/>
          <w:sz w:val="15"/>
          <w:szCs w:val="15"/>
          <w:lang w:val="en-US"/>
        </w:rPr>
        <w:t>january</w:t>
      </w:r>
      <w:proofErr w:type="spellEnd"/>
      <w:r w:rsidRPr="001C352F">
        <w:rPr>
          <w:rFonts w:asciiTheme="majorHAnsi" w:hAnsiTheme="majorHAnsi" w:cs="OTNEJMScalaSansLFCap"/>
          <w:color w:val="548DD4" w:themeColor="text2" w:themeTint="99"/>
          <w:sz w:val="15"/>
          <w:szCs w:val="15"/>
          <w:lang w:val="en-US"/>
        </w:rPr>
        <w:t xml:space="preserve"> </w:t>
      </w:r>
      <w:r w:rsidRPr="001C352F">
        <w:rPr>
          <w:rFonts w:asciiTheme="majorHAnsi" w:hAnsiTheme="majorHAnsi" w:cs="OTNEJMScalaSansOSF"/>
          <w:color w:val="548DD4" w:themeColor="text2" w:themeTint="99"/>
          <w:sz w:val="15"/>
          <w:szCs w:val="15"/>
          <w:lang w:val="en-US"/>
        </w:rPr>
        <w:t>10</w:t>
      </w:r>
      <w:r w:rsidRPr="001C352F">
        <w:rPr>
          <w:rFonts w:asciiTheme="majorHAnsi" w:hAnsiTheme="majorHAnsi" w:cs="OTNEJMScalaSansLFCap"/>
          <w:color w:val="548DD4" w:themeColor="text2" w:themeTint="99"/>
          <w:sz w:val="15"/>
          <w:szCs w:val="15"/>
          <w:lang w:val="en-US"/>
        </w:rPr>
        <w:t xml:space="preserve">, </w:t>
      </w:r>
      <w:r w:rsidRPr="001C352F">
        <w:rPr>
          <w:rFonts w:asciiTheme="majorHAnsi" w:hAnsiTheme="majorHAnsi" w:cs="OTNEJMScalaSansOSF"/>
          <w:color w:val="548DD4" w:themeColor="text2" w:themeTint="99"/>
          <w:sz w:val="15"/>
          <w:szCs w:val="15"/>
          <w:lang w:val="en-US"/>
        </w:rPr>
        <w:t xml:space="preserve">2013 </w:t>
      </w:r>
      <w:r w:rsidRPr="001C352F">
        <w:rPr>
          <w:rFonts w:asciiTheme="majorHAnsi" w:hAnsiTheme="majorHAnsi" w:cs="OTNEJMQuadraatCap"/>
          <w:color w:val="548DD4" w:themeColor="text2" w:themeTint="99"/>
          <w:sz w:val="19"/>
          <w:szCs w:val="19"/>
          <w:lang w:val="en-US"/>
        </w:rPr>
        <w:t>97</w:t>
      </w:r>
    </w:p>
    <w:p w:rsidR="00D164B6" w:rsidRDefault="00D164B6" w:rsidP="00D164B6">
      <w:pPr>
        <w:autoSpaceDE w:val="0"/>
        <w:autoSpaceDN w:val="0"/>
        <w:adjustRightInd w:val="0"/>
        <w:spacing w:after="0" w:line="240" w:lineRule="auto"/>
        <w:contextualSpacing/>
        <w:mirrorIndents/>
        <w:jc w:val="right"/>
        <w:rPr>
          <w:rFonts w:asciiTheme="majorHAnsi" w:hAnsiTheme="majorHAnsi" w:cs="OTNEJMQuadraatCap"/>
          <w:color w:val="548DD4" w:themeColor="text2" w:themeTint="99"/>
          <w:sz w:val="19"/>
          <w:szCs w:val="19"/>
          <w:lang w:val="en-US"/>
        </w:rPr>
      </w:pPr>
    </w:p>
    <w:p w:rsidR="00C36515" w:rsidRPr="001168BD" w:rsidRDefault="00C36515" w:rsidP="00D164B6">
      <w:pPr>
        <w:autoSpaceDE w:val="0"/>
        <w:autoSpaceDN w:val="0"/>
        <w:adjustRightInd w:val="0"/>
        <w:spacing w:after="0" w:line="240" w:lineRule="auto"/>
        <w:contextualSpacing/>
        <w:mirrorIndents/>
        <w:jc w:val="center"/>
        <w:rPr>
          <w:rFonts w:asciiTheme="majorHAnsi" w:eastAsia="OTNEJMQuadraat" w:hAnsiTheme="majorHAnsi" w:cs="OTNEJMQuadraat"/>
          <w:color w:val="B2A1C7" w:themeColor="accent4" w:themeTint="99"/>
          <w:sz w:val="28"/>
          <w:szCs w:val="20"/>
          <w:lang w:val="en-US"/>
        </w:rPr>
      </w:pPr>
      <w:r w:rsidRPr="001168BD">
        <w:rPr>
          <w:rFonts w:asciiTheme="majorHAnsi" w:hAnsiTheme="majorHAnsi" w:cs="OTNEJMScalaSansLF-Bold"/>
          <w:b/>
          <w:bCs/>
          <w:color w:val="B2A1C7" w:themeColor="accent4" w:themeTint="99"/>
          <w:sz w:val="48"/>
          <w:szCs w:val="36"/>
          <w:lang w:val="en-US"/>
        </w:rPr>
        <w:t>The</w:t>
      </w:r>
      <w:r w:rsidRPr="001168BD">
        <w:rPr>
          <w:rFonts w:asciiTheme="majorHAnsi" w:eastAsia="OTNEJMQuadraat" w:hAnsiTheme="majorHAnsi" w:cs="OTNEJMQuadraat"/>
          <w:color w:val="B2A1C7" w:themeColor="accent4" w:themeTint="99"/>
          <w:sz w:val="28"/>
          <w:szCs w:val="20"/>
          <w:lang w:val="en-US"/>
        </w:rPr>
        <w:t xml:space="preserve"> </w:t>
      </w:r>
      <w:r w:rsidRPr="001168BD">
        <w:rPr>
          <w:rFonts w:asciiTheme="majorHAnsi" w:hAnsiTheme="majorHAnsi" w:cs="OTNEJMScalaSansLF-Bold"/>
          <w:b/>
          <w:bCs/>
          <w:color w:val="B2A1C7" w:themeColor="accent4" w:themeTint="99"/>
          <w:sz w:val="48"/>
          <w:szCs w:val="36"/>
          <w:lang w:val="en-US"/>
        </w:rPr>
        <w:t>510(k) Ancestry of a Metal-on-Metal Hip Implant</w:t>
      </w:r>
    </w:p>
    <w:p w:rsidR="00C36515" w:rsidRPr="001168BD" w:rsidRDefault="00C36515" w:rsidP="00D164B6">
      <w:pPr>
        <w:autoSpaceDE w:val="0"/>
        <w:autoSpaceDN w:val="0"/>
        <w:adjustRightInd w:val="0"/>
        <w:spacing w:after="0" w:line="240" w:lineRule="auto"/>
        <w:contextualSpacing/>
        <w:mirrorIndents/>
        <w:jc w:val="center"/>
        <w:rPr>
          <w:rFonts w:asciiTheme="majorHAnsi" w:hAnsiTheme="majorHAnsi" w:cs="OTNEJMScalaSansLF"/>
          <w:color w:val="B2A1C7" w:themeColor="accent4" w:themeTint="99"/>
          <w:sz w:val="24"/>
          <w:szCs w:val="20"/>
          <w:lang w:val="en-US"/>
        </w:rPr>
      </w:pPr>
      <w:r w:rsidRPr="001168BD">
        <w:rPr>
          <w:rFonts w:asciiTheme="majorHAnsi" w:hAnsiTheme="majorHAnsi" w:cs="OTNEJMScalaSansLF"/>
          <w:color w:val="B2A1C7" w:themeColor="accent4" w:themeTint="99"/>
          <w:sz w:val="24"/>
          <w:szCs w:val="20"/>
          <w:lang w:val="en-US"/>
        </w:rPr>
        <w:t xml:space="preserve">Brent M. </w:t>
      </w:r>
      <w:proofErr w:type="spellStart"/>
      <w:r w:rsidRPr="001168BD">
        <w:rPr>
          <w:rFonts w:asciiTheme="majorHAnsi" w:hAnsiTheme="majorHAnsi" w:cs="OTNEJMScalaSansLF"/>
          <w:color w:val="B2A1C7" w:themeColor="accent4" w:themeTint="99"/>
          <w:sz w:val="24"/>
          <w:szCs w:val="20"/>
          <w:lang w:val="en-US"/>
        </w:rPr>
        <w:t>Ardaugh</w:t>
      </w:r>
      <w:proofErr w:type="spellEnd"/>
      <w:r w:rsidRPr="001168BD">
        <w:rPr>
          <w:rFonts w:asciiTheme="majorHAnsi" w:hAnsiTheme="majorHAnsi" w:cs="OTNEJMScalaSansLF"/>
          <w:color w:val="B2A1C7" w:themeColor="accent4" w:themeTint="99"/>
          <w:sz w:val="24"/>
          <w:szCs w:val="20"/>
          <w:lang w:val="en-US"/>
        </w:rPr>
        <w:t xml:space="preserve">, M.P.H., Stephen E. Graves, M.B., B.S., and Rita F. </w:t>
      </w:r>
      <w:proofErr w:type="spellStart"/>
      <w:r w:rsidRPr="001168BD">
        <w:rPr>
          <w:rFonts w:asciiTheme="majorHAnsi" w:hAnsiTheme="majorHAnsi" w:cs="OTNEJMScalaSansLF"/>
          <w:color w:val="B2A1C7" w:themeColor="accent4" w:themeTint="99"/>
          <w:sz w:val="24"/>
          <w:szCs w:val="20"/>
          <w:lang w:val="en-US"/>
        </w:rPr>
        <w:t>Redberg</w:t>
      </w:r>
      <w:proofErr w:type="spellEnd"/>
      <w:r w:rsidRPr="001168BD">
        <w:rPr>
          <w:rFonts w:asciiTheme="majorHAnsi" w:hAnsiTheme="majorHAnsi" w:cs="OTNEJMScalaSansLF"/>
          <w:color w:val="B2A1C7" w:themeColor="accent4" w:themeTint="99"/>
          <w:sz w:val="24"/>
          <w:szCs w:val="20"/>
          <w:lang w:val="en-US"/>
        </w:rPr>
        <w:t>, M.D.</w:t>
      </w:r>
    </w:p>
    <w:p w:rsidR="00C36515" w:rsidRPr="001168BD" w:rsidRDefault="00C36515" w:rsidP="00D164B6">
      <w:pPr>
        <w:autoSpaceDE w:val="0"/>
        <w:autoSpaceDN w:val="0"/>
        <w:adjustRightInd w:val="0"/>
        <w:spacing w:after="0" w:line="240" w:lineRule="auto"/>
        <w:contextualSpacing/>
        <w:mirrorIndents/>
        <w:jc w:val="center"/>
        <w:rPr>
          <w:rFonts w:asciiTheme="majorHAnsi" w:hAnsiTheme="majorHAnsi" w:cs="OTNEJMQuadraatCap"/>
          <w:color w:val="B2A1C7" w:themeColor="accent4" w:themeTint="99"/>
          <w:szCs w:val="19"/>
          <w:lang w:val="en-US"/>
        </w:rPr>
      </w:pPr>
    </w:p>
    <w:p w:rsidR="001C352F" w:rsidRDefault="001C352F" w:rsidP="001C352F">
      <w:pPr>
        <w:autoSpaceDE w:val="0"/>
        <w:autoSpaceDN w:val="0"/>
        <w:adjustRightInd w:val="0"/>
        <w:spacing w:after="0" w:line="240" w:lineRule="auto"/>
        <w:contextualSpacing/>
        <w:mirrorIndents/>
        <w:jc w:val="both"/>
        <w:rPr>
          <w:rFonts w:asciiTheme="majorHAnsi" w:hAnsiTheme="majorHAnsi" w:cs="OTNEJMQuadraatCap"/>
          <w:color w:val="548DD4" w:themeColor="text2" w:themeTint="99"/>
          <w:sz w:val="19"/>
          <w:szCs w:val="19"/>
          <w:lang w:val="en-US"/>
        </w:rPr>
      </w:pPr>
    </w:p>
    <w:p w:rsidR="001C352F" w:rsidRPr="00D164B6" w:rsidRDefault="001C352F" w:rsidP="001C352F">
      <w:pPr>
        <w:autoSpaceDE w:val="0"/>
        <w:autoSpaceDN w:val="0"/>
        <w:adjustRightInd w:val="0"/>
        <w:spacing w:after="0" w:line="240" w:lineRule="auto"/>
        <w:contextualSpacing/>
        <w:mirrorIndents/>
        <w:jc w:val="both"/>
        <w:rPr>
          <w:rFonts w:asciiTheme="majorHAnsi" w:hAnsiTheme="majorHAnsi" w:cs="OTNEJMQuadraatCap"/>
          <w:sz w:val="24"/>
          <w:szCs w:val="24"/>
          <w:lang w:val="en-US"/>
        </w:rPr>
      </w:pPr>
      <w:r w:rsidRPr="00D164B6">
        <w:rPr>
          <w:rFonts w:asciiTheme="majorHAnsi" w:hAnsiTheme="majorHAnsi" w:cs="OTNEJMQuadraatCap"/>
          <w:sz w:val="24"/>
          <w:szCs w:val="24"/>
          <w:lang w:val="en-US"/>
        </w:rPr>
        <w:t xml:space="preserve">Many medical devices that pose great safety risks to Americans, including metal-on-metal hip implants, currently enter the U.S. market through a Food and Drug Administration (FDA) regulatory </w:t>
      </w:r>
      <w:r w:rsidRPr="00D164B6">
        <w:rPr>
          <w:rFonts w:asciiTheme="majorHAnsi" w:eastAsia="OTNEJMQuadraat" w:hAnsiTheme="majorHAnsi" w:cs="OTNEJMQuadraat"/>
          <w:color w:val="000000"/>
          <w:sz w:val="24"/>
          <w:szCs w:val="24"/>
          <w:lang w:val="en-US"/>
        </w:rPr>
        <w:t>pathway that is not intended for</w:t>
      </w:r>
      <w:r w:rsidRPr="00D164B6">
        <w:rPr>
          <w:rFonts w:asciiTheme="majorHAnsi" w:hAnsiTheme="majorHAnsi" w:cs="OTNEJMQuadraatCap"/>
          <w:sz w:val="24"/>
          <w:szCs w:val="24"/>
          <w:lang w:val="en-US"/>
        </w:rPr>
        <w:t xml:space="preserve"> </w:t>
      </w:r>
      <w:r w:rsidRPr="00D164B6">
        <w:rPr>
          <w:rFonts w:asciiTheme="majorHAnsi" w:eastAsia="OTNEJMQuadraat" w:hAnsiTheme="majorHAnsi" w:cs="OTNEJMQuadraat"/>
          <w:color w:val="000000"/>
          <w:sz w:val="24"/>
          <w:szCs w:val="24"/>
          <w:lang w:val="en-US"/>
        </w:rPr>
        <w:t>evaluating safety and effectiveness.</w:t>
      </w:r>
      <w:r w:rsidRPr="00D164B6">
        <w:rPr>
          <w:rFonts w:asciiTheme="majorHAnsi" w:hAnsiTheme="majorHAnsi" w:cs="OTNEJMQuadraatCap"/>
          <w:sz w:val="24"/>
          <w:szCs w:val="24"/>
          <w:lang w:val="en-US"/>
        </w:rPr>
        <w:t xml:space="preserve"> </w:t>
      </w:r>
      <w:r w:rsidRPr="00D164B6">
        <w:rPr>
          <w:rFonts w:asciiTheme="majorHAnsi" w:eastAsia="OTNEJMQuadraat" w:hAnsiTheme="majorHAnsi" w:cs="OTNEJMQuadraat"/>
          <w:color w:val="000000"/>
          <w:sz w:val="24"/>
          <w:szCs w:val="24"/>
          <w:lang w:val="en-US"/>
        </w:rPr>
        <w:t>This pathway, called the</w:t>
      </w:r>
      <w:r w:rsidRPr="00D164B6">
        <w:rPr>
          <w:rFonts w:asciiTheme="majorHAnsi" w:hAnsiTheme="majorHAnsi" w:cs="OTNEJMQuadraatCap"/>
          <w:sz w:val="24"/>
          <w:szCs w:val="24"/>
          <w:lang w:val="en-US"/>
        </w:rPr>
        <w:t xml:space="preserve"> </w:t>
      </w:r>
      <w:r w:rsidRPr="00D164B6">
        <w:rPr>
          <w:rFonts w:asciiTheme="majorHAnsi" w:eastAsia="OTNEJMQuadraat" w:hAnsiTheme="majorHAnsi" w:cs="OTNEJMQuadraat"/>
          <w:color w:val="000000"/>
          <w:sz w:val="24"/>
          <w:szCs w:val="24"/>
          <w:lang w:val="en-US"/>
        </w:rPr>
        <w:t>510(k) process, instead involves</w:t>
      </w:r>
      <w:r w:rsidRPr="00D164B6">
        <w:rPr>
          <w:rFonts w:asciiTheme="majorHAnsi" w:hAnsiTheme="majorHAnsi" w:cs="OTNEJMQuadraatCap"/>
          <w:sz w:val="24"/>
          <w:szCs w:val="24"/>
          <w:lang w:val="en-US"/>
        </w:rPr>
        <w:t xml:space="preserve"> </w:t>
      </w:r>
      <w:r w:rsidRPr="00D164B6">
        <w:rPr>
          <w:rFonts w:asciiTheme="majorHAnsi" w:eastAsia="OTNEJMQuadraat" w:hAnsiTheme="majorHAnsi" w:cs="OTNEJMQuadraat"/>
          <w:color w:val="000000"/>
          <w:sz w:val="24"/>
          <w:szCs w:val="24"/>
          <w:lang w:val="en-US"/>
        </w:rPr>
        <w:t>evaluation of “substantial equivalence”</w:t>
      </w:r>
      <w:r w:rsidRPr="00D164B6">
        <w:rPr>
          <w:rFonts w:asciiTheme="majorHAnsi" w:hAnsiTheme="majorHAnsi" w:cs="OTNEJMQuadraatCap"/>
          <w:sz w:val="24"/>
          <w:szCs w:val="24"/>
          <w:lang w:val="en-US"/>
        </w:rPr>
        <w:t xml:space="preserve"> </w:t>
      </w:r>
      <w:r w:rsidRPr="00D164B6">
        <w:rPr>
          <w:rFonts w:asciiTheme="majorHAnsi" w:eastAsia="OTNEJMQuadraat" w:hAnsiTheme="majorHAnsi" w:cs="OTNEJMQuadraat"/>
          <w:color w:val="000000"/>
          <w:sz w:val="24"/>
          <w:szCs w:val="24"/>
          <w:lang w:val="en-US"/>
        </w:rPr>
        <w:t>to previously cleared devices,</w:t>
      </w:r>
      <w:r w:rsidRPr="00D164B6">
        <w:rPr>
          <w:rFonts w:asciiTheme="majorHAnsi" w:hAnsiTheme="majorHAnsi" w:cs="OTNEJMQuadraatCap"/>
          <w:sz w:val="24"/>
          <w:szCs w:val="24"/>
          <w:lang w:val="en-US"/>
        </w:rPr>
        <w:t xml:space="preserve"> </w:t>
      </w:r>
      <w:r w:rsidRPr="00D164B6">
        <w:rPr>
          <w:rFonts w:asciiTheme="majorHAnsi" w:eastAsia="OTNEJMQuadraat" w:hAnsiTheme="majorHAnsi" w:cs="OTNEJMQuadraat"/>
          <w:color w:val="000000"/>
          <w:sz w:val="24"/>
          <w:szCs w:val="24"/>
          <w:lang w:val="en-US"/>
        </w:rPr>
        <w:t>many of which have never</w:t>
      </w:r>
      <w:r w:rsidRPr="00D164B6">
        <w:rPr>
          <w:rFonts w:asciiTheme="majorHAnsi" w:hAnsiTheme="majorHAnsi" w:cs="OTNEJMQuadraatCap"/>
          <w:sz w:val="24"/>
          <w:szCs w:val="24"/>
          <w:lang w:val="en-US"/>
        </w:rPr>
        <w:t xml:space="preserve"> </w:t>
      </w:r>
      <w:r w:rsidRPr="00D164B6">
        <w:rPr>
          <w:rFonts w:asciiTheme="majorHAnsi" w:eastAsia="OTNEJMQuadraat" w:hAnsiTheme="majorHAnsi" w:cs="OTNEJMQuadraat"/>
          <w:color w:val="000000"/>
          <w:sz w:val="24"/>
          <w:szCs w:val="24"/>
          <w:lang w:val="en-US"/>
        </w:rPr>
        <w:t>been assessed for safety and effectiveness</w:t>
      </w:r>
      <w:r w:rsidRPr="00D164B6">
        <w:rPr>
          <w:rFonts w:asciiTheme="majorHAnsi" w:hAnsiTheme="majorHAnsi" w:cs="OTNEJMQuadraatCap"/>
          <w:sz w:val="24"/>
          <w:szCs w:val="24"/>
          <w:lang w:val="en-US"/>
        </w:rPr>
        <w:t xml:space="preserve"> </w:t>
      </w:r>
      <w:r w:rsidRPr="00D164B6">
        <w:rPr>
          <w:rFonts w:asciiTheme="majorHAnsi" w:eastAsia="OTNEJMQuadraat" w:hAnsiTheme="majorHAnsi" w:cs="OTNEJMQuadraat"/>
          <w:color w:val="000000"/>
          <w:sz w:val="24"/>
          <w:szCs w:val="24"/>
          <w:lang w:val="en-US"/>
        </w:rPr>
        <w:t>and some of which</w:t>
      </w:r>
      <w:r w:rsidRPr="00D164B6">
        <w:rPr>
          <w:rFonts w:asciiTheme="majorHAnsi" w:hAnsiTheme="majorHAnsi" w:cs="OTNEJMQuadraatCap"/>
          <w:sz w:val="24"/>
          <w:szCs w:val="24"/>
          <w:lang w:val="en-US"/>
        </w:rPr>
        <w:t xml:space="preserve"> </w:t>
      </w:r>
      <w:r w:rsidRPr="00D164B6">
        <w:rPr>
          <w:rFonts w:asciiTheme="majorHAnsi" w:eastAsia="OTNEJMQuadraat" w:hAnsiTheme="majorHAnsi" w:cs="OTNEJMQuadraat"/>
          <w:color w:val="000000"/>
          <w:sz w:val="24"/>
          <w:szCs w:val="24"/>
          <w:lang w:val="en-US"/>
        </w:rPr>
        <w:t>are no longer in use because of</w:t>
      </w:r>
      <w:r w:rsidRPr="00D164B6">
        <w:rPr>
          <w:rFonts w:asciiTheme="majorHAnsi" w:hAnsiTheme="majorHAnsi" w:cs="OTNEJMQuadraatCap"/>
          <w:sz w:val="24"/>
          <w:szCs w:val="24"/>
          <w:lang w:val="en-US"/>
        </w:rPr>
        <w:t xml:space="preserve"> </w:t>
      </w:r>
      <w:r w:rsidRPr="00D164B6">
        <w:rPr>
          <w:rFonts w:asciiTheme="majorHAnsi" w:eastAsia="OTNEJMQuadraat" w:hAnsiTheme="majorHAnsi" w:cs="OTNEJMQuadraat"/>
          <w:color w:val="000000"/>
          <w:sz w:val="24"/>
          <w:szCs w:val="24"/>
          <w:lang w:val="en-US"/>
        </w:rPr>
        <w:t>poor clinical performance.</w:t>
      </w:r>
    </w:p>
    <w:p w:rsidR="00CA1D04" w:rsidRPr="00F27C98" w:rsidRDefault="00CA1D04" w:rsidP="001C352F">
      <w:pPr>
        <w:autoSpaceDE w:val="0"/>
        <w:autoSpaceDN w:val="0"/>
        <w:adjustRightInd w:val="0"/>
        <w:spacing w:after="0" w:line="240" w:lineRule="auto"/>
        <w:contextualSpacing/>
        <w:mirrorIndents/>
        <w:rPr>
          <w:rFonts w:asciiTheme="majorHAnsi" w:eastAsia="OTNEJMQuadraat" w:hAnsiTheme="majorHAnsi" w:cs="OTNEJMQuadraat"/>
          <w:color w:val="000000"/>
          <w:sz w:val="24"/>
          <w:szCs w:val="24"/>
          <w:lang w:val="en-US"/>
        </w:rPr>
      </w:pPr>
    </w:p>
    <w:p w:rsidR="001C352F" w:rsidRPr="00D164B6" w:rsidRDefault="001C352F" w:rsidP="001C352F">
      <w:pPr>
        <w:autoSpaceDE w:val="0"/>
        <w:autoSpaceDN w:val="0"/>
        <w:adjustRightInd w:val="0"/>
        <w:spacing w:after="0" w:line="240" w:lineRule="auto"/>
        <w:contextualSpacing/>
        <w:mirrorIndents/>
        <w:rPr>
          <w:rFonts w:asciiTheme="majorHAnsi" w:eastAsia="OTNEJMQuadraat" w:hAnsiTheme="majorHAnsi" w:cs="OTNEJMQuadraat"/>
          <w:color w:val="000000"/>
          <w:sz w:val="24"/>
          <w:szCs w:val="24"/>
          <w:lang w:val="en-US"/>
        </w:rPr>
      </w:pPr>
      <w:r w:rsidRPr="00D164B6">
        <w:rPr>
          <w:rFonts w:asciiTheme="majorHAnsi" w:eastAsia="OTNEJMQuadraat" w:hAnsiTheme="majorHAnsi" w:cs="OTNEJMQuadraat"/>
          <w:color w:val="000000"/>
          <w:sz w:val="24"/>
          <w:szCs w:val="24"/>
          <w:lang w:val="en-US"/>
        </w:rPr>
        <w:t>The Medical Device Amendments of 1976 created three classes of devices: class I included low-risk devices, such as toothbrushes; class II contained moderate-risk devices, such as infusion pumps; and class III included high-risk devices and those awaiting proper classification, such as metal-on-metal hip implants. These classes roughly</w:t>
      </w:r>
    </w:p>
    <w:p w:rsidR="00AC3F2C" w:rsidRDefault="001C352F" w:rsidP="00C36515">
      <w:pPr>
        <w:autoSpaceDE w:val="0"/>
        <w:autoSpaceDN w:val="0"/>
        <w:adjustRightInd w:val="0"/>
        <w:spacing w:after="0" w:line="240" w:lineRule="auto"/>
        <w:contextualSpacing/>
        <w:mirrorIndents/>
        <w:rPr>
          <w:rFonts w:asciiTheme="majorHAnsi" w:eastAsia="OTNEJMQuadraat" w:hAnsiTheme="majorHAnsi" w:cs="OTNEJMQuadraat"/>
          <w:color w:val="000000"/>
          <w:sz w:val="24"/>
          <w:szCs w:val="24"/>
          <w:lang w:val="en-US"/>
        </w:rPr>
      </w:pPr>
      <w:r w:rsidRPr="00D164B6">
        <w:rPr>
          <w:rFonts w:asciiTheme="majorHAnsi" w:eastAsia="OTNEJMQuadraat" w:hAnsiTheme="majorHAnsi" w:cs="OTNEJMQuadraat"/>
          <w:color w:val="000000"/>
          <w:sz w:val="24"/>
          <w:szCs w:val="24"/>
          <w:lang w:val="en-US"/>
        </w:rPr>
        <w:t xml:space="preserve">corresponded to the level of premarketing review required. </w:t>
      </w:r>
    </w:p>
    <w:p w:rsidR="00AC3F2C" w:rsidRPr="00DD5276" w:rsidRDefault="00AC3F2C" w:rsidP="00C36515">
      <w:pPr>
        <w:autoSpaceDE w:val="0"/>
        <w:autoSpaceDN w:val="0"/>
        <w:adjustRightInd w:val="0"/>
        <w:spacing w:after="0" w:line="240" w:lineRule="auto"/>
        <w:contextualSpacing/>
        <w:mirrorIndents/>
        <w:rPr>
          <w:rFonts w:asciiTheme="majorHAnsi" w:eastAsia="OTNEJMQuadraat" w:hAnsiTheme="majorHAnsi" w:cs="OTNEJMQuadraat"/>
          <w:color w:val="548DD4" w:themeColor="text2" w:themeTint="99"/>
          <w:sz w:val="24"/>
          <w:szCs w:val="24"/>
          <w:lang w:val="en-US"/>
        </w:rPr>
      </w:pPr>
    </w:p>
    <w:p w:rsidR="00AC3F2C" w:rsidRDefault="001C352F" w:rsidP="00C36515">
      <w:pPr>
        <w:autoSpaceDE w:val="0"/>
        <w:autoSpaceDN w:val="0"/>
        <w:adjustRightInd w:val="0"/>
        <w:spacing w:after="0" w:line="240" w:lineRule="auto"/>
        <w:contextualSpacing/>
        <w:mirrorIndents/>
        <w:rPr>
          <w:rFonts w:asciiTheme="majorHAnsi" w:eastAsia="OTNEJMQuadraat" w:hAnsiTheme="majorHAnsi" w:cs="OTNEJMQuadraat"/>
          <w:color w:val="000000"/>
          <w:sz w:val="24"/>
          <w:szCs w:val="24"/>
          <w:lang w:val="en-US"/>
        </w:rPr>
      </w:pPr>
      <w:r w:rsidRPr="00D164B6">
        <w:rPr>
          <w:rFonts w:asciiTheme="majorHAnsi" w:eastAsia="OTNEJMQuadraat" w:hAnsiTheme="majorHAnsi" w:cs="OTNEJMQuadraat"/>
          <w:color w:val="000000"/>
          <w:sz w:val="24"/>
          <w:szCs w:val="24"/>
          <w:lang w:val="en-US"/>
        </w:rPr>
        <w:t xml:space="preserve">Thus, class I and II devices underwent review for substantial equivalence to devices already on the market, also called </w:t>
      </w:r>
      <w:proofErr w:type="spellStart"/>
      <w:r w:rsidRPr="00D164B6">
        <w:rPr>
          <w:rFonts w:asciiTheme="majorHAnsi" w:eastAsia="OTNEJMQuadraat" w:hAnsiTheme="majorHAnsi" w:cs="OTNEJMQuadraat"/>
          <w:color w:val="000000"/>
          <w:sz w:val="24"/>
          <w:szCs w:val="24"/>
          <w:lang w:val="en-US"/>
        </w:rPr>
        <w:t>preamendment</w:t>
      </w:r>
      <w:proofErr w:type="spellEnd"/>
      <w:r w:rsidRPr="00D164B6">
        <w:rPr>
          <w:rFonts w:asciiTheme="majorHAnsi" w:eastAsia="OTNEJMQuadraat" w:hAnsiTheme="majorHAnsi" w:cs="OTNEJMQuadraat"/>
          <w:color w:val="000000"/>
          <w:sz w:val="24"/>
          <w:szCs w:val="24"/>
          <w:lang w:val="en-US"/>
        </w:rPr>
        <w:t xml:space="preserve"> devices (although subsequent legislation granted exemptions). Class III devices were meant to undergo the more rigorous premarket approval (PMA), the only pathway that requires clinical data. However, class III devices were allowed to receive review for substantial equivalence temporarily, until the FDA down-classified these devices or promulgated regulations requiring PMA. Congress had always intended class III devices to undergo PMA, and in 1990, it directed the agency to establish a schedule to finish the transition to PMAs for all devices that were to remain in class III.</w:t>
      </w:r>
      <w:r w:rsidRPr="00D164B6">
        <w:rPr>
          <w:rFonts w:asciiTheme="majorHAnsi" w:hAnsiTheme="majorHAnsi" w:cs="OTNEJMQuadraatSmallCap"/>
          <w:color w:val="000000"/>
          <w:sz w:val="24"/>
          <w:szCs w:val="24"/>
          <w:lang w:val="en-US"/>
        </w:rPr>
        <w:t>1</w:t>
      </w:r>
      <w:r w:rsidRPr="00D164B6">
        <w:rPr>
          <w:rFonts w:asciiTheme="majorHAnsi" w:eastAsia="OTNEJMQuadraat" w:hAnsiTheme="majorHAnsi" w:cs="OTNEJMQuadraat"/>
          <w:color w:val="000000"/>
          <w:sz w:val="24"/>
          <w:szCs w:val="24"/>
          <w:lang w:val="en-US"/>
        </w:rPr>
        <w:t xml:space="preserve"> </w:t>
      </w:r>
    </w:p>
    <w:p w:rsidR="00AC3F2C" w:rsidRPr="00DD5276" w:rsidRDefault="00AC3F2C" w:rsidP="00C36515">
      <w:pPr>
        <w:autoSpaceDE w:val="0"/>
        <w:autoSpaceDN w:val="0"/>
        <w:adjustRightInd w:val="0"/>
        <w:spacing w:after="0" w:line="240" w:lineRule="auto"/>
        <w:contextualSpacing/>
        <w:mirrorIndents/>
        <w:rPr>
          <w:rFonts w:asciiTheme="majorHAnsi" w:eastAsia="OTNEJMQuadraat" w:hAnsiTheme="majorHAnsi" w:cs="OTNEJMQuadraat"/>
          <w:color w:val="548DD4" w:themeColor="text2" w:themeTint="99"/>
          <w:sz w:val="24"/>
          <w:szCs w:val="24"/>
          <w:lang w:val="en-US"/>
        </w:rPr>
      </w:pPr>
    </w:p>
    <w:p w:rsidR="001C352F" w:rsidRDefault="001C352F" w:rsidP="00C36515">
      <w:pPr>
        <w:autoSpaceDE w:val="0"/>
        <w:autoSpaceDN w:val="0"/>
        <w:adjustRightInd w:val="0"/>
        <w:spacing w:after="0" w:line="240" w:lineRule="auto"/>
        <w:contextualSpacing/>
        <w:mirrorIndents/>
        <w:rPr>
          <w:rFonts w:asciiTheme="majorHAnsi" w:eastAsia="OTNEJMQuadraat" w:hAnsiTheme="majorHAnsi" w:cs="OTNEJMQuadraat"/>
          <w:color w:val="000000"/>
          <w:sz w:val="24"/>
          <w:szCs w:val="24"/>
          <w:lang w:val="en-US"/>
        </w:rPr>
      </w:pPr>
      <w:r w:rsidRPr="00D164B6">
        <w:rPr>
          <w:rFonts w:asciiTheme="majorHAnsi" w:eastAsia="OTNEJMQuadraat" w:hAnsiTheme="majorHAnsi" w:cs="OTNEJMQuadraat"/>
          <w:color w:val="000000"/>
          <w:sz w:val="24"/>
          <w:szCs w:val="24"/>
          <w:lang w:val="en-US"/>
        </w:rPr>
        <w:t>As</w:t>
      </w:r>
      <w:r w:rsidR="008D2248" w:rsidRPr="00D164B6">
        <w:rPr>
          <w:rFonts w:asciiTheme="majorHAnsi" w:eastAsia="OTNEJMQuadraat" w:hAnsiTheme="majorHAnsi" w:cs="OTNEJMQuadraat"/>
          <w:color w:val="000000"/>
          <w:sz w:val="24"/>
          <w:szCs w:val="24"/>
          <w:lang w:val="en-US"/>
        </w:rPr>
        <w:t xml:space="preserve"> of December 19, 2012, however, the FDA still had not completed this transition to PMA for </w:t>
      </w:r>
      <w:r w:rsidRPr="00D164B6">
        <w:rPr>
          <w:rFonts w:asciiTheme="majorHAnsi" w:eastAsia="OTNEJMQuadraat" w:hAnsiTheme="majorHAnsi" w:cs="OTNEJMQuadraat"/>
          <w:color w:val="000000"/>
          <w:sz w:val="24"/>
          <w:szCs w:val="24"/>
          <w:lang w:val="en-US"/>
        </w:rPr>
        <w:t>hig</w:t>
      </w:r>
      <w:r w:rsidR="008D2248" w:rsidRPr="00D164B6">
        <w:rPr>
          <w:rFonts w:asciiTheme="majorHAnsi" w:eastAsia="OTNEJMQuadraat" w:hAnsiTheme="majorHAnsi" w:cs="OTNEJMQuadraat"/>
          <w:color w:val="000000"/>
          <w:sz w:val="24"/>
          <w:szCs w:val="24"/>
          <w:lang w:val="en-US"/>
        </w:rPr>
        <w:t xml:space="preserve">h-risk devices, although it had </w:t>
      </w:r>
      <w:r w:rsidRPr="00D164B6">
        <w:rPr>
          <w:rFonts w:asciiTheme="majorHAnsi" w:eastAsia="OTNEJMQuadraat" w:hAnsiTheme="majorHAnsi" w:cs="OTNEJMQuadraat"/>
          <w:color w:val="000000"/>
          <w:sz w:val="24"/>
          <w:szCs w:val="24"/>
          <w:lang w:val="en-US"/>
        </w:rPr>
        <w:t xml:space="preserve">stated </w:t>
      </w:r>
      <w:r w:rsidR="008D2248" w:rsidRPr="00D164B6">
        <w:rPr>
          <w:rFonts w:asciiTheme="majorHAnsi" w:eastAsia="OTNEJMQuadraat" w:hAnsiTheme="majorHAnsi" w:cs="OTNEJMQuadraat"/>
          <w:color w:val="000000"/>
          <w:sz w:val="24"/>
          <w:szCs w:val="24"/>
          <w:lang w:val="en-US"/>
        </w:rPr>
        <w:t xml:space="preserve">its intention to clear proposed rules for all remaining class III </w:t>
      </w:r>
      <w:proofErr w:type="spellStart"/>
      <w:r w:rsidR="008D2248" w:rsidRPr="00D164B6">
        <w:rPr>
          <w:rFonts w:asciiTheme="majorHAnsi" w:eastAsia="OTNEJMQuadraat" w:hAnsiTheme="majorHAnsi" w:cs="OTNEJMQuadraat"/>
          <w:color w:val="000000"/>
          <w:sz w:val="24"/>
          <w:szCs w:val="24"/>
          <w:lang w:val="en-US"/>
        </w:rPr>
        <w:t>preamendment</w:t>
      </w:r>
      <w:proofErr w:type="spellEnd"/>
      <w:r w:rsidR="008D2248" w:rsidRPr="00D164B6">
        <w:rPr>
          <w:rFonts w:asciiTheme="majorHAnsi" w:eastAsia="OTNEJMQuadraat" w:hAnsiTheme="majorHAnsi" w:cs="OTNEJMQuadraat"/>
          <w:color w:val="000000"/>
          <w:sz w:val="24"/>
          <w:szCs w:val="24"/>
          <w:lang w:val="en-US"/>
        </w:rPr>
        <w:t xml:space="preserve"> devices </w:t>
      </w:r>
      <w:r w:rsidRPr="00D164B6">
        <w:rPr>
          <w:rFonts w:asciiTheme="majorHAnsi" w:eastAsia="OTNEJMQuadraat" w:hAnsiTheme="majorHAnsi" w:cs="OTNEJMQuadraat"/>
          <w:color w:val="000000"/>
          <w:sz w:val="24"/>
          <w:szCs w:val="24"/>
          <w:lang w:val="en-US"/>
        </w:rPr>
        <w:t>by December 31, 2012.</w:t>
      </w:r>
      <w:r w:rsidRPr="00D164B6">
        <w:rPr>
          <w:rFonts w:asciiTheme="majorHAnsi" w:hAnsiTheme="majorHAnsi" w:cs="OTNEJMQuadraatSmallCap"/>
          <w:color w:val="000000"/>
          <w:sz w:val="24"/>
          <w:szCs w:val="24"/>
          <w:lang w:val="en-US"/>
        </w:rPr>
        <w:t xml:space="preserve">2 </w:t>
      </w:r>
      <w:r w:rsidR="008D2248" w:rsidRPr="00D164B6">
        <w:rPr>
          <w:rFonts w:asciiTheme="majorHAnsi" w:eastAsia="OTNEJMQuadraat" w:hAnsiTheme="majorHAnsi" w:cs="OTNEJMQuadraat"/>
          <w:color w:val="000000"/>
          <w:sz w:val="24"/>
          <w:szCs w:val="24"/>
          <w:lang w:val="en-US"/>
        </w:rPr>
        <w:t xml:space="preserve">Currently, 19 different types of class III devices, including metal on-metal </w:t>
      </w:r>
      <w:r w:rsidRPr="00D164B6">
        <w:rPr>
          <w:rFonts w:asciiTheme="majorHAnsi" w:eastAsia="OTNEJMQuadraat" w:hAnsiTheme="majorHAnsi" w:cs="OTNEJMQuadraat"/>
          <w:color w:val="000000"/>
          <w:sz w:val="24"/>
          <w:szCs w:val="24"/>
          <w:lang w:val="en-US"/>
        </w:rPr>
        <w:t>hip</w:t>
      </w:r>
      <w:r w:rsidR="008D2248" w:rsidRPr="00D164B6">
        <w:rPr>
          <w:rFonts w:asciiTheme="majorHAnsi" w:eastAsia="OTNEJMQuadraat" w:hAnsiTheme="majorHAnsi" w:cs="OTNEJMQuadraat"/>
          <w:color w:val="000000"/>
          <w:sz w:val="24"/>
          <w:szCs w:val="24"/>
          <w:lang w:val="en-US"/>
        </w:rPr>
        <w:t xml:space="preserve"> implants, are allowed to reach </w:t>
      </w:r>
      <w:r w:rsidRPr="00D164B6">
        <w:rPr>
          <w:rFonts w:asciiTheme="majorHAnsi" w:eastAsia="OTNEJMQuadraat" w:hAnsiTheme="majorHAnsi" w:cs="OTNEJMQuadraat"/>
          <w:color w:val="000000"/>
          <w:sz w:val="24"/>
          <w:szCs w:val="24"/>
          <w:lang w:val="en-US"/>
        </w:rPr>
        <w:t>pat</w:t>
      </w:r>
      <w:r w:rsidR="008D2248" w:rsidRPr="00D164B6">
        <w:rPr>
          <w:rFonts w:asciiTheme="majorHAnsi" w:eastAsia="OTNEJMQuadraat" w:hAnsiTheme="majorHAnsi" w:cs="OTNEJMQuadraat"/>
          <w:color w:val="000000"/>
          <w:sz w:val="24"/>
          <w:szCs w:val="24"/>
          <w:lang w:val="en-US"/>
        </w:rPr>
        <w:t xml:space="preserve">ients through 510(k) clearance. Because of this loophole, companies that market these devices </w:t>
      </w:r>
      <w:r w:rsidRPr="00D164B6">
        <w:rPr>
          <w:rFonts w:asciiTheme="majorHAnsi" w:eastAsia="OTNEJMQuadraat" w:hAnsiTheme="majorHAnsi" w:cs="OTNEJMQuadraat"/>
          <w:color w:val="000000"/>
          <w:sz w:val="24"/>
          <w:szCs w:val="24"/>
          <w:lang w:val="en-US"/>
        </w:rPr>
        <w:t>a</w:t>
      </w:r>
      <w:r w:rsidR="008D2248" w:rsidRPr="00D164B6">
        <w:rPr>
          <w:rFonts w:asciiTheme="majorHAnsi" w:eastAsia="OTNEJMQuadraat" w:hAnsiTheme="majorHAnsi" w:cs="OTNEJMQuadraat"/>
          <w:color w:val="000000"/>
          <w:sz w:val="24"/>
          <w:szCs w:val="24"/>
          <w:lang w:val="en-US"/>
        </w:rPr>
        <w:t xml:space="preserve">re often legally able to obtain clearance without demonstrating safety and </w:t>
      </w:r>
      <w:r w:rsidRPr="00D164B6">
        <w:rPr>
          <w:rFonts w:asciiTheme="majorHAnsi" w:eastAsia="OTNEJMQuadraat" w:hAnsiTheme="majorHAnsi" w:cs="OTNEJMQuadraat"/>
          <w:color w:val="000000"/>
          <w:sz w:val="24"/>
          <w:szCs w:val="24"/>
          <w:lang w:val="en-US"/>
        </w:rPr>
        <w:t xml:space="preserve">effectiveness </w:t>
      </w:r>
      <w:r w:rsidR="008D2248" w:rsidRPr="00D164B6">
        <w:rPr>
          <w:rFonts w:asciiTheme="majorHAnsi" w:eastAsia="OTNEJMQuadraat" w:hAnsiTheme="majorHAnsi" w:cs="OTNEJMQuadraat"/>
          <w:color w:val="000000"/>
          <w:sz w:val="24"/>
          <w:szCs w:val="24"/>
          <w:lang w:val="en-US"/>
        </w:rPr>
        <w:t xml:space="preserve">through </w:t>
      </w:r>
      <w:r w:rsidRPr="00D164B6">
        <w:rPr>
          <w:rFonts w:asciiTheme="majorHAnsi" w:eastAsia="OTNEJMQuadraat" w:hAnsiTheme="majorHAnsi" w:cs="OTNEJMQuadraat"/>
          <w:color w:val="000000"/>
          <w:sz w:val="24"/>
          <w:szCs w:val="24"/>
          <w:lang w:val="en-US"/>
        </w:rPr>
        <w:t>cl</w:t>
      </w:r>
      <w:r w:rsidR="00C36515" w:rsidRPr="00D164B6">
        <w:rPr>
          <w:rFonts w:asciiTheme="majorHAnsi" w:eastAsia="OTNEJMQuadraat" w:hAnsiTheme="majorHAnsi" w:cs="OTNEJMQuadraat"/>
          <w:color w:val="000000"/>
          <w:sz w:val="24"/>
          <w:szCs w:val="24"/>
          <w:lang w:val="en-US"/>
        </w:rPr>
        <w:t xml:space="preserve">inical studies, but by claiming </w:t>
      </w:r>
      <w:r w:rsidRPr="00D164B6">
        <w:rPr>
          <w:rFonts w:asciiTheme="majorHAnsi" w:eastAsia="OTNEJMQuadraat" w:hAnsiTheme="majorHAnsi" w:cs="OTNEJMQuadraat"/>
          <w:color w:val="000000"/>
          <w:sz w:val="24"/>
          <w:szCs w:val="24"/>
          <w:lang w:val="en-US"/>
        </w:rPr>
        <w:t>sub</w:t>
      </w:r>
      <w:r w:rsidR="00C36515" w:rsidRPr="00D164B6">
        <w:rPr>
          <w:rFonts w:asciiTheme="majorHAnsi" w:eastAsia="OTNEJMQuadraat" w:hAnsiTheme="majorHAnsi" w:cs="OTNEJMQuadraat"/>
          <w:color w:val="000000"/>
          <w:sz w:val="24"/>
          <w:szCs w:val="24"/>
          <w:lang w:val="en-US"/>
        </w:rPr>
        <w:t xml:space="preserve">stantial equivalence to earlier </w:t>
      </w:r>
      <w:r w:rsidRPr="00D164B6">
        <w:rPr>
          <w:rFonts w:asciiTheme="majorHAnsi" w:eastAsia="OTNEJMQuadraat" w:hAnsiTheme="majorHAnsi" w:cs="OTNEJMQuadraat"/>
          <w:color w:val="000000"/>
          <w:sz w:val="24"/>
          <w:szCs w:val="24"/>
          <w:lang w:val="en-US"/>
        </w:rPr>
        <w:t>“predicate devices” —</w:t>
      </w:r>
      <w:r w:rsidR="00C36515" w:rsidRPr="00D164B6">
        <w:rPr>
          <w:rFonts w:asciiTheme="majorHAnsi" w:eastAsia="OTNEJMQuadraat" w:hAnsiTheme="majorHAnsi" w:cs="OTNEJMQuadraat"/>
          <w:color w:val="000000"/>
          <w:sz w:val="24"/>
          <w:szCs w:val="24"/>
          <w:lang w:val="en-US"/>
        </w:rPr>
        <w:t xml:space="preserve"> or pieces </w:t>
      </w:r>
      <w:r w:rsidRPr="00D164B6">
        <w:rPr>
          <w:rFonts w:asciiTheme="majorHAnsi" w:eastAsia="OTNEJMQuadraat" w:hAnsiTheme="majorHAnsi" w:cs="OTNEJMQuadraat"/>
          <w:color w:val="000000"/>
          <w:sz w:val="24"/>
          <w:szCs w:val="24"/>
          <w:lang w:val="en-US"/>
        </w:rPr>
        <w:t>of those devices —</w:t>
      </w:r>
      <w:r w:rsidR="00C36515" w:rsidRPr="00D164B6">
        <w:rPr>
          <w:rFonts w:asciiTheme="majorHAnsi" w:eastAsia="OTNEJMQuadraat" w:hAnsiTheme="majorHAnsi" w:cs="OTNEJMQuadraat"/>
          <w:color w:val="000000"/>
          <w:sz w:val="24"/>
          <w:szCs w:val="24"/>
          <w:lang w:val="en-US"/>
        </w:rPr>
        <w:t xml:space="preserve"> which may </w:t>
      </w:r>
      <w:r w:rsidRPr="00D164B6">
        <w:rPr>
          <w:rFonts w:asciiTheme="majorHAnsi" w:eastAsia="OTNEJMQuadraat" w:hAnsiTheme="majorHAnsi" w:cs="OTNEJMQuadraat"/>
          <w:color w:val="000000"/>
          <w:sz w:val="24"/>
          <w:szCs w:val="24"/>
          <w:lang w:val="en-US"/>
        </w:rPr>
        <w:t>als</w:t>
      </w:r>
      <w:r w:rsidR="00C36515" w:rsidRPr="00D164B6">
        <w:rPr>
          <w:rFonts w:asciiTheme="majorHAnsi" w:eastAsia="OTNEJMQuadraat" w:hAnsiTheme="majorHAnsi" w:cs="OTNEJMQuadraat"/>
          <w:color w:val="000000"/>
          <w:sz w:val="24"/>
          <w:szCs w:val="24"/>
          <w:lang w:val="en-US"/>
        </w:rPr>
        <w:t xml:space="preserve">o have been found substantially </w:t>
      </w:r>
      <w:r w:rsidRPr="00D164B6">
        <w:rPr>
          <w:rFonts w:asciiTheme="majorHAnsi" w:eastAsia="OTNEJMQuadraat" w:hAnsiTheme="majorHAnsi" w:cs="OTNEJMQuadraat"/>
          <w:color w:val="000000"/>
          <w:sz w:val="24"/>
          <w:szCs w:val="24"/>
          <w:lang w:val="en-US"/>
        </w:rPr>
        <w:t>equi</w:t>
      </w:r>
      <w:r w:rsidR="00C36515" w:rsidRPr="00D164B6">
        <w:rPr>
          <w:rFonts w:asciiTheme="majorHAnsi" w:eastAsia="OTNEJMQuadraat" w:hAnsiTheme="majorHAnsi" w:cs="OTNEJMQuadraat"/>
          <w:color w:val="000000"/>
          <w:sz w:val="24"/>
          <w:szCs w:val="24"/>
          <w:lang w:val="en-US"/>
        </w:rPr>
        <w:t xml:space="preserve">valent to even earlier devices, and so on, all the way back </w:t>
      </w:r>
      <w:r w:rsidRPr="00D164B6">
        <w:rPr>
          <w:rFonts w:asciiTheme="majorHAnsi" w:eastAsia="OTNEJMQuadraat" w:hAnsiTheme="majorHAnsi" w:cs="OTNEJMQuadraat"/>
          <w:color w:val="000000"/>
          <w:sz w:val="24"/>
          <w:szCs w:val="24"/>
          <w:lang w:val="en-US"/>
        </w:rPr>
        <w:t xml:space="preserve">to </w:t>
      </w:r>
      <w:proofErr w:type="spellStart"/>
      <w:r w:rsidRPr="00D164B6">
        <w:rPr>
          <w:rFonts w:asciiTheme="majorHAnsi" w:eastAsia="OTNEJMQuadraat" w:hAnsiTheme="majorHAnsi" w:cs="OTNEJMQuadraat"/>
          <w:color w:val="000000"/>
          <w:sz w:val="24"/>
          <w:szCs w:val="24"/>
          <w:lang w:val="en-US"/>
        </w:rPr>
        <w:t>preamendment</w:t>
      </w:r>
      <w:proofErr w:type="spellEnd"/>
      <w:r w:rsidRPr="00D164B6">
        <w:rPr>
          <w:rFonts w:asciiTheme="majorHAnsi" w:eastAsia="OTNEJMQuadraat" w:hAnsiTheme="majorHAnsi" w:cs="OTNEJMQuadraat"/>
          <w:color w:val="000000"/>
          <w:sz w:val="24"/>
          <w:szCs w:val="24"/>
          <w:lang w:val="en-US"/>
        </w:rPr>
        <w:t xml:space="preserve"> devices. </w:t>
      </w:r>
    </w:p>
    <w:p w:rsidR="00437667" w:rsidRPr="00DD5276" w:rsidRDefault="00437667" w:rsidP="00C36515">
      <w:pPr>
        <w:autoSpaceDE w:val="0"/>
        <w:autoSpaceDN w:val="0"/>
        <w:adjustRightInd w:val="0"/>
        <w:spacing w:after="0" w:line="240" w:lineRule="auto"/>
        <w:contextualSpacing/>
        <w:mirrorIndents/>
        <w:rPr>
          <w:rFonts w:asciiTheme="majorHAnsi" w:hAnsiTheme="majorHAnsi" w:cs="OTNEJMScalaSansLF"/>
          <w:color w:val="000000"/>
          <w:sz w:val="24"/>
          <w:szCs w:val="24"/>
          <w:lang w:val="en-US"/>
        </w:rPr>
      </w:pPr>
    </w:p>
    <w:p w:rsidR="00C66F1A" w:rsidRDefault="00C36515" w:rsidP="001C352F">
      <w:pPr>
        <w:autoSpaceDE w:val="0"/>
        <w:autoSpaceDN w:val="0"/>
        <w:adjustRightInd w:val="0"/>
        <w:spacing w:after="0" w:line="240" w:lineRule="auto"/>
        <w:contextualSpacing/>
        <w:mirrorIndents/>
        <w:rPr>
          <w:rFonts w:asciiTheme="majorHAnsi" w:eastAsia="OTNEJMQuadraat" w:hAnsiTheme="majorHAnsi" w:cs="OTNEJMQuadraat"/>
          <w:color w:val="000000"/>
          <w:sz w:val="24"/>
          <w:szCs w:val="24"/>
          <w:lang w:val="en-US"/>
        </w:rPr>
      </w:pPr>
      <w:r w:rsidRPr="00D164B6">
        <w:rPr>
          <w:rFonts w:asciiTheme="majorHAnsi" w:eastAsia="OTNEJMQuadraat" w:hAnsiTheme="majorHAnsi" w:cs="OTNEJMQuadraat"/>
          <w:color w:val="000000"/>
          <w:sz w:val="24"/>
          <w:szCs w:val="24"/>
          <w:lang w:val="en-US"/>
        </w:rPr>
        <w:t xml:space="preserve">Because many predicates have never </w:t>
      </w:r>
      <w:r w:rsidR="001C352F" w:rsidRPr="00D164B6">
        <w:rPr>
          <w:rFonts w:asciiTheme="majorHAnsi" w:eastAsia="OTNEJMQuadraat" w:hAnsiTheme="majorHAnsi" w:cs="OTNEJMQuadraat"/>
          <w:color w:val="000000"/>
          <w:sz w:val="24"/>
          <w:szCs w:val="24"/>
          <w:lang w:val="en-US"/>
        </w:rPr>
        <w:t>been assesse</w:t>
      </w:r>
      <w:r w:rsidRPr="00D164B6">
        <w:rPr>
          <w:rFonts w:asciiTheme="majorHAnsi" w:eastAsia="OTNEJMQuadraat" w:hAnsiTheme="majorHAnsi" w:cs="OTNEJMQuadraat"/>
          <w:color w:val="000000"/>
          <w:sz w:val="24"/>
          <w:szCs w:val="24"/>
          <w:lang w:val="en-US"/>
        </w:rPr>
        <w:t xml:space="preserve">d for safety and effectiveness, an FDA finding of substantial equivalence does not mean </w:t>
      </w:r>
      <w:r w:rsidR="001C352F" w:rsidRPr="00D164B6">
        <w:rPr>
          <w:rFonts w:asciiTheme="majorHAnsi" w:eastAsia="OTNEJMQuadraat" w:hAnsiTheme="majorHAnsi" w:cs="OTNEJMQuadraat"/>
          <w:color w:val="000000"/>
          <w:sz w:val="24"/>
          <w:szCs w:val="24"/>
          <w:lang w:val="en-US"/>
        </w:rPr>
        <w:t>that a ne</w:t>
      </w:r>
      <w:r w:rsidRPr="00D164B6">
        <w:rPr>
          <w:rFonts w:asciiTheme="majorHAnsi" w:eastAsia="OTNEJMQuadraat" w:hAnsiTheme="majorHAnsi" w:cs="OTNEJMQuadraat"/>
          <w:color w:val="000000"/>
          <w:sz w:val="24"/>
          <w:szCs w:val="24"/>
          <w:lang w:val="en-US"/>
        </w:rPr>
        <w:t xml:space="preserve">w device is safe and effective; it means only that the device is deemed no less safe and </w:t>
      </w:r>
      <w:r w:rsidR="001C352F" w:rsidRPr="00D164B6">
        <w:rPr>
          <w:rFonts w:asciiTheme="majorHAnsi" w:eastAsia="OTNEJMQuadraat" w:hAnsiTheme="majorHAnsi" w:cs="OTNEJMQuadraat"/>
          <w:color w:val="000000"/>
          <w:sz w:val="24"/>
          <w:szCs w:val="24"/>
          <w:lang w:val="en-US"/>
        </w:rPr>
        <w:t>no less effective than a predicate.</w:t>
      </w:r>
      <w:r w:rsidR="001C352F" w:rsidRPr="00D164B6">
        <w:rPr>
          <w:rFonts w:asciiTheme="majorHAnsi" w:hAnsiTheme="majorHAnsi" w:cs="OTNEJMQuadraatSmallCap"/>
          <w:color w:val="000000"/>
          <w:sz w:val="24"/>
          <w:szCs w:val="24"/>
          <w:lang w:val="en-US"/>
        </w:rPr>
        <w:t>1</w:t>
      </w:r>
      <w:r w:rsidRPr="00D164B6">
        <w:rPr>
          <w:rFonts w:asciiTheme="majorHAnsi" w:eastAsia="OTNEJMQuadraat" w:hAnsiTheme="majorHAnsi" w:cs="OTNEJMQuadraat"/>
          <w:color w:val="000000"/>
          <w:sz w:val="24"/>
          <w:szCs w:val="24"/>
          <w:lang w:val="en-US"/>
        </w:rPr>
        <w:t xml:space="preserve"> </w:t>
      </w:r>
      <w:r w:rsidR="001C352F" w:rsidRPr="00D164B6">
        <w:rPr>
          <w:rFonts w:asciiTheme="majorHAnsi" w:eastAsia="OTNEJMQuadraat" w:hAnsiTheme="majorHAnsi" w:cs="OTNEJMQuadraat"/>
          <w:color w:val="000000"/>
          <w:sz w:val="24"/>
          <w:szCs w:val="24"/>
          <w:lang w:val="en-US"/>
        </w:rPr>
        <w:t>Ev</w:t>
      </w:r>
      <w:r w:rsidRPr="00D164B6">
        <w:rPr>
          <w:rFonts w:asciiTheme="majorHAnsi" w:eastAsia="OTNEJMQuadraat" w:hAnsiTheme="majorHAnsi" w:cs="OTNEJMQuadraat"/>
          <w:color w:val="000000"/>
          <w:sz w:val="24"/>
          <w:szCs w:val="24"/>
          <w:lang w:val="en-US"/>
        </w:rPr>
        <w:t xml:space="preserve">en voluntarily recalled devices can serve as predicates, as long as the FDA did not formally remove these devices from the market or a court did not find them </w:t>
      </w:r>
      <w:r w:rsidR="001C352F" w:rsidRPr="00D164B6">
        <w:rPr>
          <w:rFonts w:asciiTheme="majorHAnsi" w:eastAsia="OTNEJMQuadraat" w:hAnsiTheme="majorHAnsi" w:cs="OTNEJMQuadraat"/>
          <w:color w:val="000000"/>
          <w:sz w:val="24"/>
          <w:szCs w:val="24"/>
          <w:lang w:val="en-US"/>
        </w:rPr>
        <w:t>adulterated or misbranded.</w:t>
      </w:r>
      <w:r w:rsidR="001C352F" w:rsidRPr="00D164B6">
        <w:rPr>
          <w:rFonts w:asciiTheme="majorHAnsi" w:hAnsiTheme="majorHAnsi" w:cs="OTNEJMQuadraatSmallCap"/>
          <w:color w:val="000000"/>
          <w:sz w:val="24"/>
          <w:szCs w:val="24"/>
          <w:lang w:val="en-US"/>
        </w:rPr>
        <w:t>1</w:t>
      </w:r>
      <w:r w:rsidRPr="00D164B6">
        <w:rPr>
          <w:rFonts w:asciiTheme="majorHAnsi" w:eastAsia="OTNEJMQuadraat" w:hAnsiTheme="majorHAnsi" w:cs="OTNEJMQuadraat"/>
          <w:color w:val="000000"/>
          <w:sz w:val="24"/>
          <w:szCs w:val="24"/>
          <w:lang w:val="en-US"/>
        </w:rPr>
        <w:t xml:space="preserve"> </w:t>
      </w:r>
    </w:p>
    <w:p w:rsidR="001C352F" w:rsidRDefault="00C36515" w:rsidP="001C352F">
      <w:pPr>
        <w:autoSpaceDE w:val="0"/>
        <w:autoSpaceDN w:val="0"/>
        <w:adjustRightInd w:val="0"/>
        <w:spacing w:after="0" w:line="240" w:lineRule="auto"/>
        <w:contextualSpacing/>
        <w:mirrorIndents/>
        <w:rPr>
          <w:rFonts w:asciiTheme="majorHAnsi" w:eastAsia="OTNEJMQuadraat" w:hAnsiTheme="majorHAnsi" w:cs="OTNEJMQuadraat"/>
          <w:color w:val="000000"/>
          <w:sz w:val="24"/>
          <w:szCs w:val="24"/>
          <w:lang w:val="en-US"/>
        </w:rPr>
      </w:pPr>
      <w:r w:rsidRPr="00D164B6">
        <w:rPr>
          <w:rFonts w:asciiTheme="majorHAnsi" w:eastAsia="OTNEJMQuadraat" w:hAnsiTheme="majorHAnsi" w:cs="OTNEJMQuadraat"/>
          <w:color w:val="000000"/>
          <w:sz w:val="24"/>
          <w:szCs w:val="24"/>
          <w:lang w:val="en-US"/>
        </w:rPr>
        <w:t xml:space="preserve">One prominent type of class </w:t>
      </w:r>
      <w:r w:rsidR="001C352F" w:rsidRPr="00D164B6">
        <w:rPr>
          <w:rFonts w:asciiTheme="majorHAnsi" w:eastAsia="OTNEJMQuadraat" w:hAnsiTheme="majorHAnsi" w:cs="OTNEJMQuadraat"/>
          <w:color w:val="000000"/>
          <w:sz w:val="24"/>
          <w:szCs w:val="24"/>
          <w:lang w:val="en-US"/>
        </w:rPr>
        <w:t>I</w:t>
      </w:r>
      <w:r w:rsidRPr="00D164B6">
        <w:rPr>
          <w:rFonts w:asciiTheme="majorHAnsi" w:eastAsia="OTNEJMQuadraat" w:hAnsiTheme="majorHAnsi" w:cs="OTNEJMQuadraat"/>
          <w:color w:val="000000"/>
          <w:sz w:val="24"/>
          <w:szCs w:val="24"/>
          <w:lang w:val="en-US"/>
        </w:rPr>
        <w:t xml:space="preserve">II device that remains eligible </w:t>
      </w:r>
      <w:r w:rsidR="001C352F" w:rsidRPr="00D164B6">
        <w:rPr>
          <w:rFonts w:asciiTheme="majorHAnsi" w:eastAsia="OTNEJMQuadraat" w:hAnsiTheme="majorHAnsi" w:cs="OTNEJMQuadraat"/>
          <w:color w:val="000000"/>
          <w:sz w:val="24"/>
          <w:szCs w:val="24"/>
          <w:lang w:val="en-US"/>
        </w:rPr>
        <w:t>for 51</w:t>
      </w:r>
      <w:r w:rsidRPr="00D164B6">
        <w:rPr>
          <w:rFonts w:asciiTheme="majorHAnsi" w:eastAsia="OTNEJMQuadraat" w:hAnsiTheme="majorHAnsi" w:cs="OTNEJMQuadraat"/>
          <w:color w:val="000000"/>
          <w:sz w:val="24"/>
          <w:szCs w:val="24"/>
          <w:lang w:val="en-US"/>
        </w:rPr>
        <w:t xml:space="preserve">0(k) clearance is metal-on-metal hip implants, such as the </w:t>
      </w:r>
      <w:proofErr w:type="spellStart"/>
      <w:r w:rsidRPr="00D164B6">
        <w:rPr>
          <w:rFonts w:asciiTheme="majorHAnsi" w:eastAsia="OTNEJMQuadraat" w:hAnsiTheme="majorHAnsi" w:cs="OTNEJMQuadraat"/>
          <w:color w:val="000000"/>
          <w:sz w:val="24"/>
          <w:szCs w:val="24"/>
          <w:lang w:val="en-US"/>
        </w:rPr>
        <w:t>DePuy</w:t>
      </w:r>
      <w:proofErr w:type="spellEnd"/>
      <w:r w:rsidRPr="00D164B6">
        <w:rPr>
          <w:rFonts w:asciiTheme="majorHAnsi" w:eastAsia="OTNEJMQuadraat" w:hAnsiTheme="majorHAnsi" w:cs="OTNEJMQuadraat"/>
          <w:color w:val="000000"/>
          <w:sz w:val="24"/>
          <w:szCs w:val="24"/>
          <w:lang w:val="en-US"/>
        </w:rPr>
        <w:t xml:space="preserve"> ASR XL Acetabular Cup </w:t>
      </w:r>
      <w:r w:rsidR="001C352F" w:rsidRPr="00D164B6">
        <w:rPr>
          <w:rFonts w:asciiTheme="majorHAnsi" w:eastAsia="OTNEJMQuadraat" w:hAnsiTheme="majorHAnsi" w:cs="OTNEJMQuadraat"/>
          <w:color w:val="000000"/>
          <w:sz w:val="24"/>
          <w:szCs w:val="24"/>
          <w:lang w:val="en-US"/>
        </w:rPr>
        <w:t>System, w</w:t>
      </w:r>
      <w:r w:rsidRPr="00D164B6">
        <w:rPr>
          <w:rFonts w:asciiTheme="majorHAnsi" w:eastAsia="OTNEJMQuadraat" w:hAnsiTheme="majorHAnsi" w:cs="OTNEJMQuadraat"/>
          <w:color w:val="000000"/>
          <w:sz w:val="24"/>
          <w:szCs w:val="24"/>
          <w:lang w:val="en-US"/>
        </w:rPr>
        <w:t xml:space="preserve">hich received FDA clearance in July 2008 without a clinical </w:t>
      </w:r>
      <w:r w:rsidR="001C352F" w:rsidRPr="00D164B6">
        <w:rPr>
          <w:rFonts w:asciiTheme="majorHAnsi" w:eastAsia="OTNEJMQuadraat" w:hAnsiTheme="majorHAnsi" w:cs="OTNEJMQuadraat"/>
          <w:color w:val="000000"/>
          <w:sz w:val="24"/>
          <w:szCs w:val="24"/>
          <w:lang w:val="en-US"/>
        </w:rPr>
        <w:t>st</w:t>
      </w:r>
      <w:r w:rsidRPr="00D164B6">
        <w:rPr>
          <w:rFonts w:asciiTheme="majorHAnsi" w:eastAsia="OTNEJMQuadraat" w:hAnsiTheme="majorHAnsi" w:cs="OTNEJMQuadraat"/>
          <w:color w:val="000000"/>
          <w:sz w:val="24"/>
          <w:szCs w:val="24"/>
          <w:lang w:val="en-US"/>
        </w:rPr>
        <w:t xml:space="preserve">udy. The Australian </w:t>
      </w:r>
      <w:proofErr w:type="spellStart"/>
      <w:r w:rsidRPr="00D164B6">
        <w:rPr>
          <w:rFonts w:asciiTheme="majorHAnsi" w:eastAsia="OTNEJMQuadraat" w:hAnsiTheme="majorHAnsi" w:cs="OTNEJMQuadraat"/>
          <w:color w:val="000000"/>
          <w:sz w:val="24"/>
          <w:szCs w:val="24"/>
          <w:lang w:val="en-US"/>
        </w:rPr>
        <w:t>Orthopaedic</w:t>
      </w:r>
      <w:proofErr w:type="spellEnd"/>
      <w:r w:rsidRPr="00D164B6">
        <w:rPr>
          <w:rFonts w:asciiTheme="majorHAnsi" w:eastAsia="OTNEJMQuadraat" w:hAnsiTheme="majorHAnsi" w:cs="OTNEJMQuadraat"/>
          <w:color w:val="000000"/>
          <w:sz w:val="24"/>
          <w:szCs w:val="24"/>
          <w:lang w:val="en-US"/>
        </w:rPr>
        <w:t xml:space="preserve"> Association National Joint Replacement Registry initially reported in September 2008 that </w:t>
      </w:r>
      <w:r w:rsidR="001C352F" w:rsidRPr="00D164B6">
        <w:rPr>
          <w:rFonts w:asciiTheme="majorHAnsi" w:eastAsia="OTNEJMQuadraat" w:hAnsiTheme="majorHAnsi" w:cs="OTNEJMQuadraat"/>
          <w:color w:val="000000"/>
          <w:sz w:val="24"/>
          <w:szCs w:val="24"/>
          <w:lang w:val="en-US"/>
        </w:rPr>
        <w:t>this d</w:t>
      </w:r>
      <w:r w:rsidRPr="00D164B6">
        <w:rPr>
          <w:rFonts w:asciiTheme="majorHAnsi" w:eastAsia="OTNEJMQuadraat" w:hAnsiTheme="majorHAnsi" w:cs="OTNEJMQuadraat"/>
          <w:color w:val="000000"/>
          <w:sz w:val="24"/>
          <w:szCs w:val="24"/>
          <w:lang w:val="en-US"/>
        </w:rPr>
        <w:t xml:space="preserve">evice required revision surgery at a high rate, and in 2010 </w:t>
      </w:r>
      <w:r w:rsidR="001C352F" w:rsidRPr="00D164B6">
        <w:rPr>
          <w:rFonts w:asciiTheme="majorHAnsi" w:eastAsia="OTNEJMQuadraat" w:hAnsiTheme="majorHAnsi" w:cs="OTNEJMQuadraat"/>
          <w:color w:val="000000"/>
          <w:sz w:val="24"/>
          <w:szCs w:val="24"/>
          <w:lang w:val="en-US"/>
        </w:rPr>
        <w:t>th</w:t>
      </w:r>
      <w:r w:rsidRPr="00D164B6">
        <w:rPr>
          <w:rFonts w:asciiTheme="majorHAnsi" w:eastAsia="OTNEJMQuadraat" w:hAnsiTheme="majorHAnsi" w:cs="OTNEJMQuadraat"/>
          <w:color w:val="000000"/>
          <w:sz w:val="24"/>
          <w:szCs w:val="24"/>
          <w:lang w:val="en-US"/>
        </w:rPr>
        <w:t xml:space="preserve">e National Joint Registry (NJR) for England and Wales reported </w:t>
      </w:r>
      <w:r w:rsidR="001C352F" w:rsidRPr="00D164B6">
        <w:rPr>
          <w:rFonts w:asciiTheme="majorHAnsi" w:eastAsia="OTNEJMQuadraat" w:hAnsiTheme="majorHAnsi" w:cs="OTNEJMQuadraat"/>
          <w:color w:val="000000"/>
          <w:sz w:val="24"/>
          <w:szCs w:val="24"/>
          <w:lang w:val="en-US"/>
        </w:rPr>
        <w:t>a 5-year</w:t>
      </w:r>
      <w:r w:rsidRPr="00D164B6">
        <w:rPr>
          <w:rFonts w:asciiTheme="majorHAnsi" w:eastAsia="OTNEJMQuadraat" w:hAnsiTheme="majorHAnsi" w:cs="OTNEJMQuadraat"/>
          <w:color w:val="000000"/>
          <w:sz w:val="24"/>
          <w:szCs w:val="24"/>
          <w:lang w:val="en-US"/>
        </w:rPr>
        <w:t xml:space="preserve"> revision rate of approximately 13%, which was more </w:t>
      </w:r>
      <w:r w:rsidR="001C352F" w:rsidRPr="00D164B6">
        <w:rPr>
          <w:rFonts w:asciiTheme="majorHAnsi" w:eastAsia="OTNEJMQuadraat" w:hAnsiTheme="majorHAnsi" w:cs="OTNEJMQuadraat"/>
          <w:color w:val="000000"/>
          <w:sz w:val="24"/>
          <w:szCs w:val="24"/>
          <w:lang w:val="en-US"/>
        </w:rPr>
        <w:t>than four times the registry’</w:t>
      </w:r>
      <w:r w:rsidRPr="00D164B6">
        <w:rPr>
          <w:rFonts w:asciiTheme="majorHAnsi" w:eastAsia="OTNEJMQuadraat" w:hAnsiTheme="majorHAnsi" w:cs="OTNEJMQuadraat"/>
          <w:color w:val="000000"/>
          <w:sz w:val="24"/>
          <w:szCs w:val="24"/>
          <w:lang w:val="en-US"/>
        </w:rPr>
        <w:t xml:space="preserve">s reported 5-year revision rate for all </w:t>
      </w:r>
      <w:r w:rsidR="001C352F" w:rsidRPr="00D164B6">
        <w:rPr>
          <w:rFonts w:asciiTheme="majorHAnsi" w:eastAsia="OTNEJMQuadraat" w:hAnsiTheme="majorHAnsi" w:cs="OTNEJMQuadraat"/>
          <w:color w:val="000000"/>
          <w:sz w:val="24"/>
          <w:szCs w:val="24"/>
          <w:lang w:val="en-US"/>
        </w:rPr>
        <w:t>hip-replacement prostheses combined.</w:t>
      </w:r>
    </w:p>
    <w:p w:rsidR="001C352F" w:rsidRPr="00D164B6" w:rsidRDefault="001C352F" w:rsidP="001C352F">
      <w:pPr>
        <w:autoSpaceDE w:val="0"/>
        <w:autoSpaceDN w:val="0"/>
        <w:adjustRightInd w:val="0"/>
        <w:spacing w:after="0" w:line="240" w:lineRule="auto"/>
        <w:contextualSpacing/>
        <w:mirrorIndents/>
        <w:rPr>
          <w:rFonts w:asciiTheme="majorHAnsi" w:eastAsia="OTNEJMQuadraat" w:hAnsiTheme="majorHAnsi" w:cs="OTNEJMQuadraat"/>
          <w:color w:val="000000"/>
          <w:sz w:val="24"/>
          <w:szCs w:val="24"/>
          <w:lang w:val="en-US"/>
        </w:rPr>
      </w:pPr>
      <w:proofErr w:type="spellStart"/>
      <w:r w:rsidRPr="00D164B6">
        <w:rPr>
          <w:rFonts w:asciiTheme="majorHAnsi" w:eastAsia="OTNEJMQuadraat" w:hAnsiTheme="majorHAnsi" w:cs="OTNEJMQuadraat"/>
          <w:color w:val="000000"/>
          <w:sz w:val="24"/>
          <w:szCs w:val="24"/>
          <w:lang w:val="en-US"/>
        </w:rPr>
        <w:t>DePuy</w:t>
      </w:r>
      <w:proofErr w:type="spellEnd"/>
      <w:r w:rsidRPr="00D164B6">
        <w:rPr>
          <w:rFonts w:asciiTheme="majorHAnsi" w:eastAsia="OTNEJMQuadraat" w:hAnsiTheme="majorHAnsi" w:cs="OTNEJMQuadraat"/>
          <w:color w:val="000000"/>
          <w:sz w:val="24"/>
          <w:szCs w:val="24"/>
          <w:lang w:val="en-US"/>
        </w:rPr>
        <w:t xml:space="preserve"> voluntarily recalle</w:t>
      </w:r>
      <w:r w:rsidR="00C36515" w:rsidRPr="00D164B6">
        <w:rPr>
          <w:rFonts w:asciiTheme="majorHAnsi" w:eastAsia="OTNEJMQuadraat" w:hAnsiTheme="majorHAnsi" w:cs="OTNEJMQuadraat"/>
          <w:color w:val="000000"/>
          <w:sz w:val="24"/>
          <w:szCs w:val="24"/>
          <w:lang w:val="en-US"/>
        </w:rPr>
        <w:t xml:space="preserve">d </w:t>
      </w:r>
      <w:r w:rsidRPr="00D164B6">
        <w:rPr>
          <w:rFonts w:asciiTheme="majorHAnsi" w:eastAsia="OTNEJMQuadraat" w:hAnsiTheme="majorHAnsi" w:cs="OTNEJMQuadraat"/>
          <w:color w:val="000000"/>
          <w:sz w:val="24"/>
          <w:szCs w:val="24"/>
          <w:lang w:val="en-US"/>
        </w:rPr>
        <w:t>t</w:t>
      </w:r>
      <w:r w:rsidR="00C36515" w:rsidRPr="00D164B6">
        <w:rPr>
          <w:rFonts w:asciiTheme="majorHAnsi" w:eastAsia="OTNEJMQuadraat" w:hAnsiTheme="majorHAnsi" w:cs="OTNEJMQuadraat"/>
          <w:color w:val="000000"/>
          <w:sz w:val="24"/>
          <w:szCs w:val="24"/>
          <w:lang w:val="en-US"/>
        </w:rPr>
        <w:t xml:space="preserve">he ASR XL in Australia in 2009, </w:t>
      </w:r>
      <w:r w:rsidRPr="00D164B6">
        <w:rPr>
          <w:rFonts w:asciiTheme="majorHAnsi" w:eastAsia="OTNEJMQuadraat" w:hAnsiTheme="majorHAnsi" w:cs="OTNEJMQuadraat"/>
          <w:color w:val="000000"/>
          <w:sz w:val="24"/>
          <w:szCs w:val="24"/>
          <w:lang w:val="en-US"/>
        </w:rPr>
        <w:t>citing “declining demand”</w:t>
      </w:r>
      <w:r w:rsidR="00C36515" w:rsidRPr="00D164B6">
        <w:rPr>
          <w:rFonts w:asciiTheme="majorHAnsi" w:eastAsia="OTNEJMQuadraat" w:hAnsiTheme="majorHAnsi" w:cs="OTNEJMQuadraat"/>
          <w:color w:val="000000"/>
          <w:sz w:val="24"/>
          <w:szCs w:val="24"/>
          <w:lang w:val="en-US"/>
        </w:rPr>
        <w:t xml:space="preserve"> as a reason, and then worldwide in </w:t>
      </w:r>
      <w:r w:rsidRPr="00D164B6">
        <w:rPr>
          <w:rFonts w:asciiTheme="majorHAnsi" w:eastAsia="OTNEJMQuadraat" w:hAnsiTheme="majorHAnsi" w:cs="OTNEJMQuadraat"/>
          <w:color w:val="000000"/>
          <w:sz w:val="24"/>
          <w:szCs w:val="24"/>
          <w:lang w:val="en-US"/>
        </w:rPr>
        <w:t>20</w:t>
      </w:r>
      <w:r w:rsidR="00C36515" w:rsidRPr="00D164B6">
        <w:rPr>
          <w:rFonts w:asciiTheme="majorHAnsi" w:eastAsia="OTNEJMQuadraat" w:hAnsiTheme="majorHAnsi" w:cs="OTNEJMQuadraat"/>
          <w:color w:val="000000"/>
          <w:sz w:val="24"/>
          <w:szCs w:val="24"/>
          <w:lang w:val="en-US"/>
        </w:rPr>
        <w:t xml:space="preserve">10 because of the high revision </w:t>
      </w:r>
      <w:r w:rsidRPr="00D164B6">
        <w:rPr>
          <w:rFonts w:asciiTheme="majorHAnsi" w:eastAsia="OTNEJMQuadraat" w:hAnsiTheme="majorHAnsi" w:cs="OTNEJMQuadraat"/>
          <w:color w:val="000000"/>
          <w:sz w:val="24"/>
          <w:szCs w:val="24"/>
          <w:lang w:val="en-US"/>
        </w:rPr>
        <w:t>rate reported by the NJR.</w:t>
      </w:r>
    </w:p>
    <w:p w:rsidR="001C352F" w:rsidRDefault="00C36515" w:rsidP="001C352F">
      <w:pPr>
        <w:autoSpaceDE w:val="0"/>
        <w:autoSpaceDN w:val="0"/>
        <w:adjustRightInd w:val="0"/>
        <w:spacing w:after="0" w:line="240" w:lineRule="auto"/>
        <w:contextualSpacing/>
        <w:mirrorIndents/>
        <w:rPr>
          <w:rFonts w:asciiTheme="majorHAnsi" w:eastAsia="OTNEJMQuadraat" w:hAnsiTheme="majorHAnsi" w:cs="OTNEJMQuadraat"/>
          <w:color w:val="000000"/>
          <w:sz w:val="24"/>
          <w:szCs w:val="24"/>
          <w:lang w:val="en-US"/>
        </w:rPr>
      </w:pPr>
      <w:r w:rsidRPr="00D164B6">
        <w:rPr>
          <w:rFonts w:asciiTheme="majorHAnsi" w:eastAsia="OTNEJMQuadraat" w:hAnsiTheme="majorHAnsi" w:cs="OTNEJMQuadraat"/>
          <w:color w:val="000000"/>
          <w:sz w:val="24"/>
          <w:szCs w:val="24"/>
          <w:lang w:val="en-US"/>
        </w:rPr>
        <w:t xml:space="preserve">Using FDA documents obtained </w:t>
      </w:r>
      <w:r w:rsidR="001C352F" w:rsidRPr="00D164B6">
        <w:rPr>
          <w:rFonts w:asciiTheme="majorHAnsi" w:eastAsia="OTNEJMQuadraat" w:hAnsiTheme="majorHAnsi" w:cs="OTNEJMQuadraat"/>
          <w:color w:val="000000"/>
          <w:sz w:val="24"/>
          <w:szCs w:val="24"/>
          <w:lang w:val="en-US"/>
        </w:rPr>
        <w:t>from the agency’</w:t>
      </w:r>
      <w:r w:rsidRPr="00D164B6">
        <w:rPr>
          <w:rFonts w:asciiTheme="majorHAnsi" w:eastAsia="OTNEJMQuadraat" w:hAnsiTheme="majorHAnsi" w:cs="OTNEJMQuadraat"/>
          <w:color w:val="000000"/>
          <w:sz w:val="24"/>
          <w:szCs w:val="24"/>
          <w:lang w:val="en-US"/>
        </w:rPr>
        <w:t xml:space="preserve">s database and Freedom of Information </w:t>
      </w:r>
      <w:r w:rsidR="001C352F" w:rsidRPr="00D164B6">
        <w:rPr>
          <w:rFonts w:asciiTheme="majorHAnsi" w:eastAsia="OTNEJMQuadraat" w:hAnsiTheme="majorHAnsi" w:cs="OTNEJMQuadraat"/>
          <w:color w:val="000000"/>
          <w:sz w:val="24"/>
          <w:szCs w:val="24"/>
          <w:lang w:val="en-US"/>
        </w:rPr>
        <w:t>Office, we traced</w:t>
      </w:r>
      <w:r w:rsidRPr="00D164B6">
        <w:rPr>
          <w:rFonts w:asciiTheme="majorHAnsi" w:eastAsia="OTNEJMQuadraat" w:hAnsiTheme="majorHAnsi" w:cs="OTNEJMQuadraat"/>
          <w:color w:val="000000"/>
          <w:sz w:val="24"/>
          <w:szCs w:val="24"/>
          <w:lang w:val="en-US"/>
        </w:rPr>
        <w:t xml:space="preserve"> the ancestry of the ASR XL back more than five decades, through a total of 95 </w:t>
      </w:r>
      <w:r w:rsidR="001C352F" w:rsidRPr="00D164B6">
        <w:rPr>
          <w:rFonts w:asciiTheme="majorHAnsi" w:eastAsia="OTNEJMQuadraat" w:hAnsiTheme="majorHAnsi" w:cs="OTNEJMQuadraat"/>
          <w:color w:val="000000"/>
          <w:sz w:val="24"/>
          <w:szCs w:val="24"/>
          <w:lang w:val="en-US"/>
        </w:rPr>
        <w:t>different devices (including femoral</w:t>
      </w:r>
      <w:r w:rsidR="00E17677">
        <w:rPr>
          <w:rFonts w:asciiTheme="majorHAnsi" w:eastAsia="OTNEJMQuadraat" w:hAnsiTheme="majorHAnsi" w:cs="OTNEJMQuadraat"/>
          <w:color w:val="000000"/>
          <w:sz w:val="24"/>
          <w:szCs w:val="24"/>
          <w:lang w:val="en-US"/>
        </w:rPr>
        <w:t xml:space="preserve"> </w:t>
      </w:r>
      <w:r w:rsidRPr="00D164B6">
        <w:rPr>
          <w:rFonts w:asciiTheme="majorHAnsi" w:eastAsia="OTNEJMQuadraat" w:hAnsiTheme="majorHAnsi" w:cs="OTNEJMQuadraat"/>
          <w:color w:val="000000"/>
          <w:sz w:val="24"/>
          <w:szCs w:val="24"/>
          <w:lang w:val="en-US"/>
        </w:rPr>
        <w:t xml:space="preserve">stems), including 15 different </w:t>
      </w:r>
      <w:r w:rsidR="001C352F" w:rsidRPr="00D164B6">
        <w:rPr>
          <w:rFonts w:asciiTheme="majorHAnsi" w:eastAsia="OTNEJMQuadraat" w:hAnsiTheme="majorHAnsi" w:cs="OTNEJMQuadraat"/>
          <w:color w:val="000000"/>
          <w:sz w:val="24"/>
          <w:szCs w:val="24"/>
          <w:lang w:val="en-US"/>
        </w:rPr>
        <w:t>f</w:t>
      </w:r>
      <w:r w:rsidRPr="00D164B6">
        <w:rPr>
          <w:rFonts w:asciiTheme="majorHAnsi" w:eastAsia="OTNEJMQuadraat" w:hAnsiTheme="majorHAnsi" w:cs="OTNEJMQuadraat"/>
          <w:color w:val="000000"/>
          <w:sz w:val="24"/>
          <w:szCs w:val="24"/>
          <w:lang w:val="en-US"/>
        </w:rPr>
        <w:t xml:space="preserve">emoral heads and sleeves and 52 different acetabular components </w:t>
      </w:r>
      <w:r w:rsidR="001C352F" w:rsidRPr="00D164B6">
        <w:rPr>
          <w:rFonts w:asciiTheme="majorHAnsi" w:eastAsia="OTNEJMQuadraat" w:hAnsiTheme="majorHAnsi" w:cs="OTNEJMQuadraat"/>
          <w:color w:val="000000"/>
          <w:sz w:val="24"/>
          <w:szCs w:val="24"/>
          <w:lang w:val="en-US"/>
        </w:rPr>
        <w:t>(</w:t>
      </w:r>
      <w:r w:rsidRPr="00D164B6">
        <w:rPr>
          <w:rFonts w:asciiTheme="majorHAnsi" w:eastAsia="OTNEJMQuadraat" w:hAnsiTheme="majorHAnsi" w:cs="OTNEJMQuadraat"/>
          <w:color w:val="000000"/>
          <w:sz w:val="24"/>
          <w:szCs w:val="24"/>
          <w:lang w:val="en-US"/>
        </w:rPr>
        <w:t xml:space="preserve">see figure, and the interactive </w:t>
      </w:r>
      <w:r w:rsidR="001C352F" w:rsidRPr="00D164B6">
        <w:rPr>
          <w:rFonts w:asciiTheme="majorHAnsi" w:eastAsia="OTNEJMQuadraat" w:hAnsiTheme="majorHAnsi" w:cs="OTNEJMQuadraat"/>
          <w:color w:val="000000"/>
          <w:sz w:val="24"/>
          <w:szCs w:val="24"/>
          <w:lang w:val="en-US"/>
        </w:rPr>
        <w:t>graph</w:t>
      </w:r>
      <w:r w:rsidRPr="00D164B6">
        <w:rPr>
          <w:rFonts w:asciiTheme="majorHAnsi" w:eastAsia="OTNEJMQuadraat" w:hAnsiTheme="majorHAnsi" w:cs="OTNEJMQuadraat"/>
          <w:color w:val="000000"/>
          <w:sz w:val="24"/>
          <w:szCs w:val="24"/>
          <w:lang w:val="en-US"/>
        </w:rPr>
        <w:t xml:space="preserve">ic, available with the full </w:t>
      </w:r>
      <w:r w:rsidR="001C352F" w:rsidRPr="00D164B6">
        <w:rPr>
          <w:rFonts w:asciiTheme="majorHAnsi" w:eastAsia="OTNEJMQuadraat" w:hAnsiTheme="majorHAnsi" w:cs="OTNEJMQuadraat"/>
          <w:color w:val="000000"/>
          <w:sz w:val="24"/>
          <w:szCs w:val="24"/>
          <w:lang w:val="en-US"/>
        </w:rPr>
        <w:t>text of this article at NEJM.org).</w:t>
      </w:r>
    </w:p>
    <w:p w:rsidR="00FA77E0" w:rsidRPr="006A6766" w:rsidRDefault="00FA77E0" w:rsidP="001C352F">
      <w:pPr>
        <w:autoSpaceDE w:val="0"/>
        <w:autoSpaceDN w:val="0"/>
        <w:adjustRightInd w:val="0"/>
        <w:spacing w:after="0" w:line="240" w:lineRule="auto"/>
        <w:contextualSpacing/>
        <w:mirrorIndents/>
        <w:rPr>
          <w:rFonts w:asciiTheme="majorHAnsi" w:eastAsia="OTNEJMQuadraat" w:hAnsiTheme="majorHAnsi" w:cs="OTNEJMQuadraat"/>
          <w:color w:val="000000"/>
          <w:sz w:val="24"/>
          <w:szCs w:val="24"/>
          <w:lang w:val="en-US"/>
        </w:rPr>
      </w:pPr>
    </w:p>
    <w:p w:rsidR="001C352F" w:rsidRDefault="00C36515" w:rsidP="001C352F">
      <w:pPr>
        <w:autoSpaceDE w:val="0"/>
        <w:autoSpaceDN w:val="0"/>
        <w:adjustRightInd w:val="0"/>
        <w:spacing w:after="0" w:line="240" w:lineRule="auto"/>
        <w:contextualSpacing/>
        <w:mirrorIndents/>
        <w:rPr>
          <w:rFonts w:asciiTheme="majorHAnsi" w:eastAsia="OTNEJMQuadraat" w:hAnsiTheme="majorHAnsi" w:cs="OTNEJMQuadraat"/>
          <w:color w:val="000000"/>
          <w:sz w:val="24"/>
          <w:szCs w:val="24"/>
          <w:lang w:val="en-US"/>
        </w:rPr>
      </w:pPr>
      <w:r w:rsidRPr="00D164B6">
        <w:rPr>
          <w:rFonts w:asciiTheme="majorHAnsi" w:eastAsia="OTNEJMQuadraat" w:hAnsiTheme="majorHAnsi" w:cs="OTNEJMQuadraat"/>
          <w:color w:val="000000"/>
          <w:sz w:val="24"/>
          <w:szCs w:val="24"/>
          <w:lang w:val="en-US"/>
        </w:rPr>
        <w:t xml:space="preserve">The 510(k) clearance for the </w:t>
      </w:r>
      <w:r w:rsidR="001C352F" w:rsidRPr="00D164B6">
        <w:rPr>
          <w:rFonts w:asciiTheme="majorHAnsi" w:eastAsia="OTNEJMQuadraat" w:hAnsiTheme="majorHAnsi" w:cs="OTNEJMQuadraat"/>
          <w:color w:val="000000"/>
          <w:sz w:val="24"/>
          <w:szCs w:val="24"/>
          <w:lang w:val="en-US"/>
        </w:rPr>
        <w:t>ASR XL fo</w:t>
      </w:r>
      <w:r w:rsidRPr="00D164B6">
        <w:rPr>
          <w:rFonts w:asciiTheme="majorHAnsi" w:eastAsia="OTNEJMQuadraat" w:hAnsiTheme="majorHAnsi" w:cs="OTNEJMQuadraat"/>
          <w:color w:val="000000"/>
          <w:sz w:val="24"/>
          <w:szCs w:val="24"/>
          <w:lang w:val="en-US"/>
        </w:rPr>
        <w:t xml:space="preserve">cused on three characteristics: the porous bone ingrowth </w:t>
      </w:r>
      <w:r w:rsidR="001C352F" w:rsidRPr="00D164B6">
        <w:rPr>
          <w:rFonts w:asciiTheme="majorHAnsi" w:eastAsia="OTNEJMQuadraat" w:hAnsiTheme="majorHAnsi" w:cs="OTNEJMQuadraat"/>
          <w:color w:val="000000"/>
          <w:sz w:val="24"/>
          <w:szCs w:val="24"/>
          <w:lang w:val="en-US"/>
        </w:rPr>
        <w:t>surfac</w:t>
      </w:r>
      <w:r w:rsidRPr="00D164B6">
        <w:rPr>
          <w:rFonts w:asciiTheme="majorHAnsi" w:eastAsia="OTNEJMQuadraat" w:hAnsiTheme="majorHAnsi" w:cs="OTNEJMQuadraat"/>
          <w:color w:val="000000"/>
          <w:sz w:val="24"/>
          <w:szCs w:val="24"/>
          <w:lang w:val="en-US"/>
        </w:rPr>
        <w:t xml:space="preserve">e, metal-on-metal articulation, and large femoral head sizes </w:t>
      </w:r>
      <w:r w:rsidR="001C352F" w:rsidRPr="00D164B6">
        <w:rPr>
          <w:rFonts w:asciiTheme="majorHAnsi" w:eastAsia="OTNEJMQuadraat" w:hAnsiTheme="majorHAnsi" w:cs="OTNEJMQuadraat"/>
          <w:color w:val="000000"/>
          <w:sz w:val="24"/>
          <w:szCs w:val="24"/>
          <w:lang w:val="en-US"/>
        </w:rPr>
        <w:t>(57 to 63 mm), which were large</w:t>
      </w:r>
      <w:r w:rsidRPr="00D164B6">
        <w:rPr>
          <w:rFonts w:asciiTheme="majorHAnsi" w:eastAsia="OTNEJMQuadraat" w:hAnsiTheme="majorHAnsi" w:cs="OTNEJMQuadraat"/>
          <w:color w:val="000000"/>
          <w:sz w:val="24"/>
          <w:szCs w:val="24"/>
          <w:lang w:val="en-US"/>
        </w:rPr>
        <w:t xml:space="preserve">r </w:t>
      </w:r>
      <w:r w:rsidR="001C352F" w:rsidRPr="00D164B6">
        <w:rPr>
          <w:rFonts w:asciiTheme="majorHAnsi" w:eastAsia="OTNEJMQuadraat" w:hAnsiTheme="majorHAnsi" w:cs="OTNEJMQuadraat"/>
          <w:color w:val="000000"/>
          <w:sz w:val="24"/>
          <w:szCs w:val="24"/>
          <w:lang w:val="en-US"/>
        </w:rPr>
        <w:t>th</w:t>
      </w:r>
      <w:r w:rsidRPr="00D164B6">
        <w:rPr>
          <w:rFonts w:asciiTheme="majorHAnsi" w:eastAsia="OTNEJMQuadraat" w:hAnsiTheme="majorHAnsi" w:cs="OTNEJMQuadraat"/>
          <w:color w:val="000000"/>
          <w:sz w:val="24"/>
          <w:szCs w:val="24"/>
          <w:lang w:val="en-US"/>
        </w:rPr>
        <w:t xml:space="preserve">an those of the predicate total </w:t>
      </w:r>
      <w:r w:rsidR="001C352F" w:rsidRPr="00D164B6">
        <w:rPr>
          <w:rFonts w:asciiTheme="majorHAnsi" w:eastAsia="OTNEJMQuadraat" w:hAnsiTheme="majorHAnsi" w:cs="OTNEJMQuadraat"/>
          <w:color w:val="000000"/>
          <w:sz w:val="24"/>
          <w:szCs w:val="24"/>
          <w:lang w:val="en-US"/>
        </w:rPr>
        <w:t>hip prosthes</w:t>
      </w:r>
      <w:r w:rsidRPr="00D164B6">
        <w:rPr>
          <w:rFonts w:asciiTheme="majorHAnsi" w:eastAsia="OTNEJMQuadraat" w:hAnsiTheme="majorHAnsi" w:cs="OTNEJMQuadraat"/>
          <w:color w:val="000000"/>
          <w:sz w:val="24"/>
          <w:szCs w:val="24"/>
          <w:lang w:val="en-US"/>
        </w:rPr>
        <w:t xml:space="preserve">es. These three characteristics were uniquely combined </w:t>
      </w:r>
      <w:r w:rsidR="001C352F" w:rsidRPr="00D164B6">
        <w:rPr>
          <w:rFonts w:asciiTheme="majorHAnsi" w:eastAsia="OTNEJMQuadraat" w:hAnsiTheme="majorHAnsi" w:cs="OTNEJMQuadraat"/>
          <w:color w:val="000000"/>
          <w:sz w:val="24"/>
          <w:szCs w:val="24"/>
          <w:lang w:val="en-US"/>
        </w:rPr>
        <w:t>i</w:t>
      </w:r>
      <w:r w:rsidRPr="00D164B6">
        <w:rPr>
          <w:rFonts w:asciiTheme="majorHAnsi" w:eastAsia="OTNEJMQuadraat" w:hAnsiTheme="majorHAnsi" w:cs="OTNEJMQuadraat"/>
          <w:color w:val="000000"/>
          <w:sz w:val="24"/>
          <w:szCs w:val="24"/>
          <w:lang w:val="en-US"/>
        </w:rPr>
        <w:t xml:space="preserve">n the ASR XL but were evaluated </w:t>
      </w:r>
      <w:r w:rsidR="001C352F" w:rsidRPr="00D164B6">
        <w:rPr>
          <w:rFonts w:asciiTheme="majorHAnsi" w:eastAsia="OTNEJMQuadraat" w:hAnsiTheme="majorHAnsi" w:cs="OTNEJMQuadraat"/>
          <w:color w:val="000000"/>
          <w:sz w:val="24"/>
          <w:szCs w:val="24"/>
          <w:lang w:val="en-US"/>
        </w:rPr>
        <w:t>for “substantial equivalence”</w:t>
      </w:r>
      <w:r w:rsidRPr="00D164B6">
        <w:rPr>
          <w:rFonts w:asciiTheme="majorHAnsi" w:eastAsia="OTNEJMQuadraat" w:hAnsiTheme="majorHAnsi" w:cs="OTNEJMQuadraat"/>
          <w:color w:val="000000"/>
          <w:sz w:val="24"/>
          <w:szCs w:val="24"/>
          <w:lang w:val="en-US"/>
        </w:rPr>
        <w:t xml:space="preserve"> by </w:t>
      </w:r>
      <w:r w:rsidR="001C352F" w:rsidRPr="00D164B6">
        <w:rPr>
          <w:rFonts w:asciiTheme="majorHAnsi" w:eastAsia="OTNEJMQuadraat" w:hAnsiTheme="majorHAnsi" w:cs="OTNEJMQuadraat"/>
          <w:color w:val="000000"/>
          <w:sz w:val="24"/>
          <w:szCs w:val="24"/>
          <w:lang w:val="en-US"/>
        </w:rPr>
        <w:t>c</w:t>
      </w:r>
      <w:r w:rsidRPr="00D164B6">
        <w:rPr>
          <w:rFonts w:asciiTheme="majorHAnsi" w:eastAsia="OTNEJMQuadraat" w:hAnsiTheme="majorHAnsi" w:cs="OTNEJMQuadraat"/>
          <w:color w:val="000000"/>
          <w:sz w:val="24"/>
          <w:szCs w:val="24"/>
          <w:lang w:val="en-US"/>
        </w:rPr>
        <w:t xml:space="preserve">omparing select characteristics </w:t>
      </w:r>
      <w:r w:rsidR="001C352F" w:rsidRPr="00D164B6">
        <w:rPr>
          <w:rFonts w:asciiTheme="majorHAnsi" w:eastAsia="OTNEJMQuadraat" w:hAnsiTheme="majorHAnsi" w:cs="OTNEJMQuadraat"/>
          <w:color w:val="000000"/>
          <w:sz w:val="24"/>
          <w:szCs w:val="24"/>
          <w:lang w:val="en-US"/>
        </w:rPr>
        <w:t>to di</w:t>
      </w:r>
      <w:r w:rsidRPr="00D164B6">
        <w:rPr>
          <w:rFonts w:asciiTheme="majorHAnsi" w:eastAsia="OTNEJMQuadraat" w:hAnsiTheme="majorHAnsi" w:cs="OTNEJMQuadraat"/>
          <w:color w:val="000000"/>
          <w:sz w:val="24"/>
          <w:szCs w:val="24"/>
          <w:lang w:val="en-US"/>
        </w:rPr>
        <w:t xml:space="preserve">fferent predicate devices, none of which </w:t>
      </w:r>
      <w:r w:rsidR="001C352F" w:rsidRPr="00D164B6">
        <w:rPr>
          <w:rFonts w:asciiTheme="majorHAnsi" w:eastAsia="OTNEJMQuadraat" w:hAnsiTheme="majorHAnsi" w:cs="OTNEJMQuadraat"/>
          <w:color w:val="000000"/>
          <w:sz w:val="24"/>
          <w:szCs w:val="24"/>
          <w:lang w:val="en-US"/>
        </w:rPr>
        <w:t>containe</w:t>
      </w:r>
      <w:r w:rsidRPr="00D164B6">
        <w:rPr>
          <w:rFonts w:asciiTheme="majorHAnsi" w:eastAsia="OTNEJMQuadraat" w:hAnsiTheme="majorHAnsi" w:cs="OTNEJMQuadraat"/>
          <w:color w:val="000000"/>
          <w:sz w:val="24"/>
          <w:szCs w:val="24"/>
          <w:lang w:val="en-US"/>
        </w:rPr>
        <w:t xml:space="preserve">d all of these </w:t>
      </w:r>
      <w:r w:rsidR="001C352F" w:rsidRPr="00D164B6">
        <w:rPr>
          <w:rFonts w:asciiTheme="majorHAnsi" w:eastAsia="OTNEJMQuadraat" w:hAnsiTheme="majorHAnsi" w:cs="OTNEJMQuadraat"/>
          <w:color w:val="000000"/>
          <w:sz w:val="24"/>
          <w:szCs w:val="24"/>
          <w:lang w:val="en-US"/>
        </w:rPr>
        <w:t>c</w:t>
      </w:r>
      <w:r w:rsidRPr="00D164B6">
        <w:rPr>
          <w:rFonts w:asciiTheme="majorHAnsi" w:eastAsia="OTNEJMQuadraat" w:hAnsiTheme="majorHAnsi" w:cs="OTNEJMQuadraat"/>
          <w:color w:val="000000"/>
          <w:sz w:val="24"/>
          <w:szCs w:val="24"/>
          <w:lang w:val="en-US"/>
        </w:rPr>
        <w:t xml:space="preserve">haracteristics (i.e., they were </w:t>
      </w:r>
      <w:r w:rsidR="001C352F" w:rsidRPr="00D164B6">
        <w:rPr>
          <w:rFonts w:asciiTheme="majorHAnsi" w:eastAsia="OTNEJMQuadraat" w:hAnsiTheme="majorHAnsi" w:cs="OTNEJMQuadraat"/>
          <w:color w:val="000000"/>
          <w:sz w:val="24"/>
          <w:szCs w:val="24"/>
          <w:lang w:val="en-US"/>
        </w:rPr>
        <w:t>“split predicates”).</w:t>
      </w:r>
    </w:p>
    <w:p w:rsidR="00FA77E0" w:rsidRPr="006A6766" w:rsidRDefault="00FA77E0" w:rsidP="001C352F">
      <w:pPr>
        <w:autoSpaceDE w:val="0"/>
        <w:autoSpaceDN w:val="0"/>
        <w:adjustRightInd w:val="0"/>
        <w:spacing w:after="0" w:line="240" w:lineRule="auto"/>
        <w:contextualSpacing/>
        <w:mirrorIndents/>
        <w:rPr>
          <w:rFonts w:asciiTheme="majorHAnsi" w:eastAsia="OTNEJMQuadraat" w:hAnsiTheme="majorHAnsi" w:cs="OTNEJMQuadraat"/>
          <w:color w:val="548DD4" w:themeColor="text2" w:themeTint="99"/>
          <w:sz w:val="24"/>
          <w:szCs w:val="24"/>
          <w:lang w:val="en-US"/>
        </w:rPr>
      </w:pPr>
    </w:p>
    <w:p w:rsidR="001C352F" w:rsidRDefault="001C352F" w:rsidP="001C352F">
      <w:pPr>
        <w:autoSpaceDE w:val="0"/>
        <w:autoSpaceDN w:val="0"/>
        <w:adjustRightInd w:val="0"/>
        <w:spacing w:after="0" w:line="240" w:lineRule="auto"/>
        <w:contextualSpacing/>
        <w:mirrorIndents/>
        <w:rPr>
          <w:rFonts w:asciiTheme="majorHAnsi" w:eastAsia="OTNEJMQuadraat" w:hAnsiTheme="majorHAnsi" w:cs="OTNEJMQuadraat"/>
          <w:color w:val="000000"/>
          <w:sz w:val="24"/>
          <w:szCs w:val="24"/>
          <w:lang w:val="en-US"/>
        </w:rPr>
      </w:pPr>
      <w:r w:rsidRPr="00D164B6">
        <w:rPr>
          <w:rFonts w:asciiTheme="majorHAnsi" w:eastAsia="OTNEJMQuadraat" w:hAnsiTheme="majorHAnsi" w:cs="OTNEJMQuadraat"/>
          <w:color w:val="000000"/>
          <w:sz w:val="24"/>
          <w:szCs w:val="24"/>
          <w:lang w:val="en-US"/>
        </w:rPr>
        <w:t>T</w:t>
      </w:r>
      <w:r w:rsidR="00C36515" w:rsidRPr="00D164B6">
        <w:rPr>
          <w:rFonts w:asciiTheme="majorHAnsi" w:eastAsia="OTNEJMQuadraat" w:hAnsiTheme="majorHAnsi" w:cs="OTNEJMQuadraat"/>
          <w:color w:val="000000"/>
          <w:sz w:val="24"/>
          <w:szCs w:val="24"/>
          <w:lang w:val="en-US"/>
        </w:rPr>
        <w:t xml:space="preserve">he porous bone ingrowth surface was not specific to the type of articulation; thus, in most cases, the predicates were not </w:t>
      </w:r>
      <w:r w:rsidRPr="00D164B6">
        <w:rPr>
          <w:rFonts w:asciiTheme="majorHAnsi" w:eastAsia="OTNEJMQuadraat" w:hAnsiTheme="majorHAnsi" w:cs="OTNEJMQuadraat"/>
          <w:color w:val="000000"/>
          <w:sz w:val="24"/>
          <w:szCs w:val="24"/>
          <w:lang w:val="en-US"/>
        </w:rPr>
        <w:t>metal-</w:t>
      </w:r>
      <w:r w:rsidR="00C36515" w:rsidRPr="00D164B6">
        <w:rPr>
          <w:rFonts w:asciiTheme="majorHAnsi" w:eastAsia="OTNEJMQuadraat" w:hAnsiTheme="majorHAnsi" w:cs="OTNEJMQuadraat"/>
          <w:color w:val="000000"/>
          <w:sz w:val="24"/>
          <w:szCs w:val="24"/>
          <w:lang w:val="en-US"/>
        </w:rPr>
        <w:t xml:space="preserve">on-metal and were substantially </w:t>
      </w:r>
      <w:r w:rsidRPr="00D164B6">
        <w:rPr>
          <w:rFonts w:asciiTheme="majorHAnsi" w:eastAsia="OTNEJMQuadraat" w:hAnsiTheme="majorHAnsi" w:cs="OTNEJMQuadraat"/>
          <w:color w:val="000000"/>
          <w:sz w:val="24"/>
          <w:szCs w:val="24"/>
          <w:lang w:val="en-US"/>
        </w:rPr>
        <w:t xml:space="preserve">different in design from </w:t>
      </w:r>
      <w:r w:rsidR="00C36515" w:rsidRPr="00D164B6">
        <w:rPr>
          <w:rFonts w:asciiTheme="majorHAnsi" w:eastAsia="OTNEJMQuadraat" w:hAnsiTheme="majorHAnsi" w:cs="OTNEJMQuadraat"/>
          <w:color w:val="000000"/>
          <w:sz w:val="24"/>
          <w:szCs w:val="24"/>
          <w:lang w:val="en-US"/>
        </w:rPr>
        <w:t xml:space="preserve">the ASR XL. None of the predicates in the ancestry had the same </w:t>
      </w:r>
      <w:r w:rsidRPr="00D164B6">
        <w:rPr>
          <w:rFonts w:asciiTheme="majorHAnsi" w:eastAsia="OTNEJMQuadraat" w:hAnsiTheme="majorHAnsi" w:cs="OTNEJMQuadraat"/>
          <w:color w:val="000000"/>
          <w:sz w:val="24"/>
          <w:szCs w:val="24"/>
          <w:lang w:val="en-US"/>
        </w:rPr>
        <w:t>co</w:t>
      </w:r>
      <w:r w:rsidR="00C36515" w:rsidRPr="00D164B6">
        <w:rPr>
          <w:rFonts w:asciiTheme="majorHAnsi" w:eastAsia="OTNEJMQuadraat" w:hAnsiTheme="majorHAnsi" w:cs="OTNEJMQuadraat"/>
          <w:color w:val="000000"/>
          <w:sz w:val="24"/>
          <w:szCs w:val="24"/>
          <w:lang w:val="en-US"/>
        </w:rPr>
        <w:t xml:space="preserve">mbination of characteristics as </w:t>
      </w:r>
      <w:r w:rsidRPr="00D164B6">
        <w:rPr>
          <w:rFonts w:asciiTheme="majorHAnsi" w:eastAsia="OTNEJMQuadraat" w:hAnsiTheme="majorHAnsi" w:cs="OTNEJMQuadraat"/>
          <w:color w:val="000000"/>
          <w:sz w:val="24"/>
          <w:szCs w:val="24"/>
          <w:lang w:val="en-US"/>
        </w:rPr>
        <w:t>t</w:t>
      </w:r>
      <w:r w:rsidR="00C36515" w:rsidRPr="00D164B6">
        <w:rPr>
          <w:rFonts w:asciiTheme="majorHAnsi" w:eastAsia="OTNEJMQuadraat" w:hAnsiTheme="majorHAnsi" w:cs="OTNEJMQuadraat"/>
          <w:color w:val="000000"/>
          <w:sz w:val="24"/>
          <w:szCs w:val="24"/>
          <w:lang w:val="en-US"/>
        </w:rPr>
        <w:t xml:space="preserve">he ASR XL acetabular component. Clearance of the large metal-on-metal articulation was based </w:t>
      </w:r>
      <w:r w:rsidRPr="00D164B6">
        <w:rPr>
          <w:rFonts w:asciiTheme="majorHAnsi" w:eastAsia="OTNEJMQuadraat" w:hAnsiTheme="majorHAnsi" w:cs="OTNEJMQuadraat"/>
          <w:color w:val="000000"/>
          <w:sz w:val="24"/>
          <w:szCs w:val="24"/>
          <w:lang w:val="en-US"/>
        </w:rPr>
        <w:t>on a mu</w:t>
      </w:r>
      <w:r w:rsidR="00C36515" w:rsidRPr="00D164B6">
        <w:rPr>
          <w:rFonts w:asciiTheme="majorHAnsi" w:eastAsia="OTNEJMQuadraat" w:hAnsiTheme="majorHAnsi" w:cs="OTNEJMQuadraat"/>
          <w:color w:val="000000"/>
          <w:sz w:val="24"/>
          <w:szCs w:val="24"/>
          <w:lang w:val="en-US"/>
        </w:rPr>
        <w:t xml:space="preserve">ch smaller group of predicates, some of which differed </w:t>
      </w:r>
      <w:r w:rsidRPr="00D164B6">
        <w:rPr>
          <w:rFonts w:asciiTheme="majorHAnsi" w:eastAsia="OTNEJMQuadraat" w:hAnsiTheme="majorHAnsi" w:cs="OTNEJMQuadraat"/>
          <w:color w:val="000000"/>
          <w:sz w:val="24"/>
          <w:szCs w:val="24"/>
          <w:lang w:val="en-US"/>
        </w:rPr>
        <w:t>s</w:t>
      </w:r>
      <w:r w:rsidR="00C36515" w:rsidRPr="00D164B6">
        <w:rPr>
          <w:rFonts w:asciiTheme="majorHAnsi" w:eastAsia="OTNEJMQuadraat" w:hAnsiTheme="majorHAnsi" w:cs="OTNEJMQuadraat"/>
          <w:color w:val="000000"/>
          <w:sz w:val="24"/>
          <w:szCs w:val="24"/>
          <w:lang w:val="en-US"/>
        </w:rPr>
        <w:t xml:space="preserve">ubstantially in design from the </w:t>
      </w:r>
      <w:r w:rsidRPr="00D164B6">
        <w:rPr>
          <w:rFonts w:asciiTheme="majorHAnsi" w:eastAsia="OTNEJMQuadraat" w:hAnsiTheme="majorHAnsi" w:cs="OTNEJMQuadraat"/>
          <w:color w:val="000000"/>
          <w:sz w:val="24"/>
          <w:szCs w:val="24"/>
          <w:lang w:val="en-US"/>
        </w:rPr>
        <w:t>ASR XL or had poor clinical performance.</w:t>
      </w:r>
    </w:p>
    <w:p w:rsidR="001761B7" w:rsidRPr="006A6766" w:rsidRDefault="001761B7" w:rsidP="001C352F">
      <w:pPr>
        <w:autoSpaceDE w:val="0"/>
        <w:autoSpaceDN w:val="0"/>
        <w:adjustRightInd w:val="0"/>
        <w:spacing w:after="0" w:line="240" w:lineRule="auto"/>
        <w:contextualSpacing/>
        <w:mirrorIndents/>
        <w:rPr>
          <w:rFonts w:asciiTheme="majorHAnsi" w:eastAsia="OTNEJMQuadraat" w:hAnsiTheme="majorHAnsi" w:cs="OTNEJMQuadraat"/>
          <w:color w:val="000000"/>
          <w:sz w:val="24"/>
          <w:szCs w:val="24"/>
          <w:lang w:val="en-US"/>
        </w:rPr>
      </w:pPr>
    </w:p>
    <w:p w:rsidR="001761B7" w:rsidRDefault="00C36515" w:rsidP="001C352F">
      <w:pPr>
        <w:autoSpaceDE w:val="0"/>
        <w:autoSpaceDN w:val="0"/>
        <w:adjustRightInd w:val="0"/>
        <w:spacing w:after="0" w:line="240" w:lineRule="auto"/>
        <w:contextualSpacing/>
        <w:mirrorIndents/>
        <w:rPr>
          <w:rFonts w:asciiTheme="majorHAnsi" w:eastAsia="OTNEJMQuadraat" w:hAnsiTheme="majorHAnsi" w:cs="OTNEJMQuadraat"/>
          <w:color w:val="000000"/>
          <w:sz w:val="24"/>
          <w:szCs w:val="24"/>
          <w:lang w:val="en-US"/>
        </w:rPr>
      </w:pPr>
      <w:r w:rsidRPr="00D164B6">
        <w:rPr>
          <w:rFonts w:asciiTheme="majorHAnsi" w:eastAsia="OTNEJMQuadraat" w:hAnsiTheme="majorHAnsi" w:cs="OTNEJMQuadraat"/>
          <w:color w:val="000000"/>
          <w:sz w:val="24"/>
          <w:szCs w:val="24"/>
          <w:lang w:val="en-US"/>
        </w:rPr>
        <w:t xml:space="preserve">Ultimately, clearance was based on the claim that </w:t>
      </w:r>
      <w:r w:rsidR="001C352F" w:rsidRPr="00D164B6">
        <w:rPr>
          <w:rFonts w:asciiTheme="majorHAnsi" w:eastAsia="OTNEJMQuadraat" w:hAnsiTheme="majorHAnsi" w:cs="OTNEJMQuadraat"/>
          <w:color w:val="000000"/>
          <w:sz w:val="24"/>
          <w:szCs w:val="24"/>
          <w:lang w:val="en-US"/>
        </w:rPr>
        <w:t>these predi</w:t>
      </w:r>
      <w:r w:rsidRPr="00D164B6">
        <w:rPr>
          <w:rFonts w:asciiTheme="majorHAnsi" w:eastAsia="OTNEJMQuadraat" w:hAnsiTheme="majorHAnsi" w:cs="OTNEJMQuadraat"/>
          <w:color w:val="000000"/>
          <w:sz w:val="24"/>
          <w:szCs w:val="24"/>
          <w:lang w:val="en-US"/>
        </w:rPr>
        <w:t xml:space="preserve">cate devices were substantially </w:t>
      </w:r>
      <w:r w:rsidR="001C352F" w:rsidRPr="00D164B6">
        <w:rPr>
          <w:rFonts w:asciiTheme="majorHAnsi" w:eastAsia="OTNEJMQuadraat" w:hAnsiTheme="majorHAnsi" w:cs="OTNEJMQuadraat"/>
          <w:color w:val="000000"/>
          <w:sz w:val="24"/>
          <w:szCs w:val="24"/>
          <w:lang w:val="en-US"/>
        </w:rPr>
        <w:t>equivalent to three prostheses</w:t>
      </w:r>
      <w:r w:rsidRPr="00D164B6">
        <w:rPr>
          <w:rFonts w:asciiTheme="majorHAnsi" w:eastAsia="OTNEJMQuadraat" w:hAnsiTheme="majorHAnsi" w:cs="OTNEJMQuadraat"/>
          <w:color w:val="000000"/>
          <w:sz w:val="24"/>
          <w:szCs w:val="24"/>
          <w:lang w:val="en-US"/>
        </w:rPr>
        <w:t xml:space="preserve"> </w:t>
      </w:r>
      <w:r w:rsidR="001C352F" w:rsidRPr="00D164B6">
        <w:rPr>
          <w:rFonts w:asciiTheme="majorHAnsi" w:eastAsia="OTNEJMQuadraat" w:hAnsiTheme="majorHAnsi" w:cs="OTNEJMQuadraat"/>
          <w:color w:val="000000"/>
          <w:sz w:val="24"/>
          <w:szCs w:val="24"/>
          <w:lang w:val="en-US"/>
        </w:rPr>
        <w:t>that were used before 1976:</w:t>
      </w:r>
      <w:r w:rsidRPr="00D164B6">
        <w:rPr>
          <w:rFonts w:asciiTheme="majorHAnsi" w:eastAsia="OTNEJMQuadraat" w:hAnsiTheme="majorHAnsi" w:cs="OTNEJMQuadraat"/>
          <w:color w:val="000000"/>
          <w:sz w:val="24"/>
          <w:szCs w:val="24"/>
          <w:lang w:val="en-US"/>
        </w:rPr>
        <w:t xml:space="preserve"> </w:t>
      </w:r>
      <w:r w:rsidR="001C352F" w:rsidRPr="00D164B6">
        <w:rPr>
          <w:rFonts w:asciiTheme="majorHAnsi" w:eastAsia="OTNEJMQuadraat" w:hAnsiTheme="majorHAnsi" w:cs="OTNEJMQuadraat"/>
          <w:color w:val="000000"/>
          <w:sz w:val="24"/>
          <w:szCs w:val="24"/>
          <w:lang w:val="en-US"/>
        </w:rPr>
        <w:t>the McKee–Farrar, Ring, and</w:t>
      </w:r>
      <w:r w:rsidRPr="00D164B6">
        <w:rPr>
          <w:rFonts w:asciiTheme="majorHAnsi" w:eastAsia="OTNEJMQuadraat" w:hAnsiTheme="majorHAnsi" w:cs="OTNEJMQuadraat"/>
          <w:color w:val="000000"/>
          <w:sz w:val="24"/>
          <w:szCs w:val="24"/>
          <w:lang w:val="en-US"/>
        </w:rPr>
        <w:t xml:space="preserve"> </w:t>
      </w:r>
      <w:r w:rsidR="001C352F" w:rsidRPr="00D164B6">
        <w:rPr>
          <w:rFonts w:asciiTheme="majorHAnsi" w:eastAsia="OTNEJMQuadraat" w:hAnsiTheme="majorHAnsi" w:cs="OTNEJMQuadraat"/>
          <w:color w:val="000000"/>
          <w:sz w:val="24"/>
          <w:szCs w:val="24"/>
          <w:lang w:val="en-US"/>
        </w:rPr>
        <w:t>Sivash metal-on-metal total hip</w:t>
      </w:r>
      <w:r w:rsidRPr="00D164B6">
        <w:rPr>
          <w:rFonts w:asciiTheme="majorHAnsi" w:eastAsia="OTNEJMQuadraat" w:hAnsiTheme="majorHAnsi" w:cs="OTNEJMQuadraat"/>
          <w:color w:val="000000"/>
          <w:sz w:val="24"/>
          <w:szCs w:val="24"/>
          <w:lang w:val="en-US"/>
        </w:rPr>
        <w:t xml:space="preserve"> prostheses. It is important to note that these three devices were discontinued long ago (and </w:t>
      </w:r>
      <w:r w:rsidR="001C352F" w:rsidRPr="00D164B6">
        <w:rPr>
          <w:rFonts w:asciiTheme="majorHAnsi" w:eastAsia="OTNEJMQuadraat" w:hAnsiTheme="majorHAnsi" w:cs="OTNEJMQuadraat"/>
          <w:color w:val="000000"/>
          <w:sz w:val="24"/>
          <w:szCs w:val="24"/>
          <w:lang w:val="en-US"/>
        </w:rPr>
        <w:t>well before clearance of the ASR</w:t>
      </w:r>
      <w:r w:rsidR="001761B7">
        <w:rPr>
          <w:rFonts w:asciiTheme="majorHAnsi" w:eastAsia="OTNEJMQuadraat" w:hAnsiTheme="majorHAnsi" w:cs="OTNEJMQuadraat"/>
          <w:color w:val="000000"/>
          <w:sz w:val="24"/>
          <w:szCs w:val="24"/>
          <w:lang w:val="en-US"/>
        </w:rPr>
        <w:t xml:space="preserve"> </w:t>
      </w:r>
      <w:r w:rsidR="001C352F" w:rsidRPr="00D164B6">
        <w:rPr>
          <w:rFonts w:asciiTheme="majorHAnsi" w:eastAsia="OTNEJMQuadraat" w:hAnsiTheme="majorHAnsi" w:cs="OTNEJMQuadraat"/>
          <w:color w:val="000000"/>
          <w:sz w:val="24"/>
          <w:szCs w:val="24"/>
          <w:lang w:val="en-US"/>
        </w:rPr>
        <w:t>XL)</w:t>
      </w:r>
      <w:r w:rsidRPr="00D164B6">
        <w:rPr>
          <w:rFonts w:asciiTheme="majorHAnsi" w:eastAsia="OTNEJMQuadraat" w:hAnsiTheme="majorHAnsi" w:cs="OTNEJMQuadraat"/>
          <w:color w:val="000000"/>
          <w:sz w:val="24"/>
          <w:szCs w:val="24"/>
          <w:lang w:val="en-US"/>
        </w:rPr>
        <w:t xml:space="preserve"> because their risk of revision was so much higher than that of </w:t>
      </w:r>
      <w:r w:rsidR="001C352F" w:rsidRPr="00D164B6">
        <w:rPr>
          <w:rFonts w:asciiTheme="majorHAnsi" w:eastAsia="OTNEJMQuadraat" w:hAnsiTheme="majorHAnsi" w:cs="OTNEJMQuadraat"/>
          <w:color w:val="000000"/>
          <w:sz w:val="24"/>
          <w:szCs w:val="24"/>
          <w:lang w:val="en-US"/>
        </w:rPr>
        <w:t>other hip prostheses.</w:t>
      </w:r>
      <w:r w:rsidR="001C352F" w:rsidRPr="00D164B6">
        <w:rPr>
          <w:rFonts w:asciiTheme="majorHAnsi" w:hAnsiTheme="majorHAnsi" w:cs="OTNEJMQuadraatSmallCap"/>
          <w:color w:val="000000"/>
          <w:sz w:val="24"/>
          <w:szCs w:val="24"/>
          <w:lang w:val="en-US"/>
        </w:rPr>
        <w:t>3,4</w:t>
      </w:r>
      <w:r w:rsidRPr="00D164B6">
        <w:rPr>
          <w:rFonts w:asciiTheme="majorHAnsi" w:eastAsia="OTNEJMQuadraat" w:hAnsiTheme="majorHAnsi" w:cs="OTNEJMQuadraat"/>
          <w:color w:val="000000"/>
          <w:sz w:val="24"/>
          <w:szCs w:val="24"/>
          <w:lang w:val="en-US"/>
        </w:rPr>
        <w:t xml:space="preserve"> </w:t>
      </w:r>
    </w:p>
    <w:p w:rsidR="001761B7" w:rsidRPr="006A6766" w:rsidRDefault="001761B7" w:rsidP="001C352F">
      <w:pPr>
        <w:autoSpaceDE w:val="0"/>
        <w:autoSpaceDN w:val="0"/>
        <w:adjustRightInd w:val="0"/>
        <w:spacing w:after="0" w:line="240" w:lineRule="auto"/>
        <w:contextualSpacing/>
        <w:mirrorIndents/>
        <w:rPr>
          <w:rFonts w:asciiTheme="majorHAnsi" w:eastAsia="OTNEJMQuadraat" w:hAnsiTheme="majorHAnsi" w:cs="OTNEJMQuadraat"/>
          <w:color w:val="000000"/>
          <w:sz w:val="24"/>
          <w:szCs w:val="24"/>
          <w:lang w:val="en-US"/>
        </w:rPr>
      </w:pPr>
    </w:p>
    <w:p w:rsidR="001C352F" w:rsidRPr="00D164B6" w:rsidRDefault="001C352F" w:rsidP="001C352F">
      <w:pPr>
        <w:autoSpaceDE w:val="0"/>
        <w:autoSpaceDN w:val="0"/>
        <w:adjustRightInd w:val="0"/>
        <w:spacing w:after="0" w:line="240" w:lineRule="auto"/>
        <w:contextualSpacing/>
        <w:mirrorIndents/>
        <w:rPr>
          <w:rFonts w:asciiTheme="majorHAnsi" w:eastAsia="OTNEJMQuadraat" w:hAnsiTheme="majorHAnsi" w:cs="OTNEJMQuadraat"/>
          <w:color w:val="000000"/>
          <w:sz w:val="24"/>
          <w:szCs w:val="24"/>
          <w:lang w:val="en-US"/>
        </w:rPr>
      </w:pPr>
      <w:r w:rsidRPr="00D164B6">
        <w:rPr>
          <w:rFonts w:asciiTheme="majorHAnsi" w:eastAsia="OTNEJMQuadraat" w:hAnsiTheme="majorHAnsi" w:cs="OTNEJMQuadraat"/>
          <w:color w:val="000000"/>
          <w:sz w:val="24"/>
          <w:szCs w:val="24"/>
          <w:lang w:val="en-US"/>
        </w:rPr>
        <w:t>One meta</w:t>
      </w:r>
      <w:r w:rsidR="00C36515" w:rsidRPr="00D164B6">
        <w:rPr>
          <w:rFonts w:asciiTheme="majorHAnsi" w:eastAsia="OTNEJMQuadraat" w:hAnsiTheme="majorHAnsi" w:cs="OTNEJMQuadraat"/>
          <w:color w:val="000000"/>
          <w:sz w:val="24"/>
          <w:szCs w:val="24"/>
          <w:lang w:val="en-US"/>
        </w:rPr>
        <w:t xml:space="preserve">l-on-metal hip in use </w:t>
      </w:r>
      <w:r w:rsidRPr="00D164B6">
        <w:rPr>
          <w:rFonts w:asciiTheme="majorHAnsi" w:eastAsia="OTNEJMQuadraat" w:hAnsiTheme="majorHAnsi" w:cs="OTNEJMQuadraat"/>
          <w:color w:val="000000"/>
          <w:sz w:val="24"/>
          <w:szCs w:val="24"/>
          <w:lang w:val="en-US"/>
        </w:rPr>
        <w:t xml:space="preserve">at </w:t>
      </w:r>
      <w:r w:rsidR="00C36515" w:rsidRPr="00D164B6">
        <w:rPr>
          <w:rFonts w:asciiTheme="majorHAnsi" w:eastAsia="OTNEJMQuadraat" w:hAnsiTheme="majorHAnsi" w:cs="OTNEJMQuadraat"/>
          <w:color w:val="000000"/>
          <w:sz w:val="24"/>
          <w:szCs w:val="24"/>
          <w:lang w:val="en-US"/>
        </w:rPr>
        <w:t xml:space="preserve">the time of the application and whose use was well supported by </w:t>
      </w:r>
      <w:r w:rsidRPr="00D164B6">
        <w:rPr>
          <w:rFonts w:asciiTheme="majorHAnsi" w:eastAsia="OTNEJMQuadraat" w:hAnsiTheme="majorHAnsi" w:cs="OTNEJMQuadraat"/>
          <w:color w:val="000000"/>
          <w:sz w:val="24"/>
          <w:szCs w:val="24"/>
          <w:lang w:val="en-US"/>
        </w:rPr>
        <w:t>clinical evidence was the original</w:t>
      </w:r>
      <w:r w:rsidR="001761B7">
        <w:rPr>
          <w:rFonts w:asciiTheme="majorHAnsi" w:eastAsia="OTNEJMQuadraat" w:hAnsiTheme="majorHAnsi" w:cs="OTNEJMQuadraat"/>
          <w:color w:val="000000"/>
          <w:sz w:val="24"/>
          <w:szCs w:val="24"/>
          <w:lang w:val="en-US"/>
        </w:rPr>
        <w:t xml:space="preserve"> </w:t>
      </w:r>
      <w:proofErr w:type="spellStart"/>
      <w:r w:rsidR="00C36515" w:rsidRPr="00D164B6">
        <w:rPr>
          <w:rFonts w:asciiTheme="majorHAnsi" w:eastAsia="OTNEJMQuadraat" w:hAnsiTheme="majorHAnsi" w:cs="OTNEJMQuadraat"/>
          <w:color w:val="000000"/>
          <w:sz w:val="24"/>
          <w:szCs w:val="24"/>
          <w:lang w:val="en-US"/>
        </w:rPr>
        <w:t>Metasul</w:t>
      </w:r>
      <w:proofErr w:type="spellEnd"/>
      <w:r w:rsidR="00C36515" w:rsidRPr="00D164B6">
        <w:rPr>
          <w:rFonts w:asciiTheme="majorHAnsi" w:eastAsia="OTNEJMQuadraat" w:hAnsiTheme="majorHAnsi" w:cs="OTNEJMQuadraat"/>
          <w:color w:val="000000"/>
          <w:sz w:val="24"/>
          <w:szCs w:val="24"/>
          <w:lang w:val="en-US"/>
        </w:rPr>
        <w:t xml:space="preserve"> hip. However, this hip </w:t>
      </w:r>
      <w:r w:rsidRPr="00D164B6">
        <w:rPr>
          <w:rFonts w:asciiTheme="majorHAnsi" w:eastAsia="OTNEJMQuadraat" w:hAnsiTheme="majorHAnsi" w:cs="OTNEJMQuadraat"/>
          <w:color w:val="000000"/>
          <w:sz w:val="24"/>
          <w:szCs w:val="24"/>
          <w:lang w:val="en-US"/>
        </w:rPr>
        <w:t>d</w:t>
      </w:r>
      <w:r w:rsidR="00C36515" w:rsidRPr="00D164B6">
        <w:rPr>
          <w:rFonts w:asciiTheme="majorHAnsi" w:eastAsia="OTNEJMQuadraat" w:hAnsiTheme="majorHAnsi" w:cs="OTNEJMQuadraat"/>
          <w:color w:val="000000"/>
          <w:sz w:val="24"/>
          <w:szCs w:val="24"/>
          <w:lang w:val="en-US"/>
        </w:rPr>
        <w:t xml:space="preserve">iffered substantially in design from the ASR XL in two major </w:t>
      </w:r>
      <w:r w:rsidRPr="00D164B6">
        <w:rPr>
          <w:rFonts w:asciiTheme="majorHAnsi" w:eastAsia="OTNEJMQuadraat" w:hAnsiTheme="majorHAnsi" w:cs="OTNEJMQuadraat"/>
          <w:color w:val="000000"/>
          <w:sz w:val="24"/>
          <w:szCs w:val="24"/>
          <w:lang w:val="en-US"/>
        </w:rPr>
        <w:t>way</w:t>
      </w:r>
      <w:r w:rsidR="00C36515" w:rsidRPr="00D164B6">
        <w:rPr>
          <w:rFonts w:asciiTheme="majorHAnsi" w:eastAsia="OTNEJMQuadraat" w:hAnsiTheme="majorHAnsi" w:cs="OTNEJMQuadraat"/>
          <w:color w:val="000000"/>
          <w:sz w:val="24"/>
          <w:szCs w:val="24"/>
          <w:lang w:val="en-US"/>
        </w:rPr>
        <w:t xml:space="preserve">s. The cup was not solid metal, </w:t>
      </w:r>
      <w:r w:rsidRPr="00D164B6">
        <w:rPr>
          <w:rFonts w:asciiTheme="majorHAnsi" w:eastAsia="OTNEJMQuadraat" w:hAnsiTheme="majorHAnsi" w:cs="OTNEJMQuadraat"/>
          <w:color w:val="000000"/>
          <w:sz w:val="24"/>
          <w:szCs w:val="24"/>
          <w:lang w:val="en-US"/>
        </w:rPr>
        <w:t>b</w:t>
      </w:r>
      <w:r w:rsidR="00C36515" w:rsidRPr="00D164B6">
        <w:rPr>
          <w:rFonts w:asciiTheme="majorHAnsi" w:eastAsia="OTNEJMQuadraat" w:hAnsiTheme="majorHAnsi" w:cs="OTNEJMQuadraat"/>
          <w:color w:val="000000"/>
          <w:sz w:val="24"/>
          <w:szCs w:val="24"/>
          <w:lang w:val="en-US"/>
        </w:rPr>
        <w:t xml:space="preserve">ut instead consisted of a metal </w:t>
      </w:r>
      <w:r w:rsidRPr="00D164B6">
        <w:rPr>
          <w:rFonts w:asciiTheme="majorHAnsi" w:eastAsia="OTNEJMQuadraat" w:hAnsiTheme="majorHAnsi" w:cs="OTNEJMQuadraat"/>
          <w:color w:val="000000"/>
          <w:sz w:val="24"/>
          <w:szCs w:val="24"/>
          <w:lang w:val="en-US"/>
        </w:rPr>
        <w:t>shel</w:t>
      </w:r>
      <w:r w:rsidR="00C36515" w:rsidRPr="00D164B6">
        <w:rPr>
          <w:rFonts w:asciiTheme="majorHAnsi" w:eastAsia="OTNEJMQuadraat" w:hAnsiTheme="majorHAnsi" w:cs="OTNEJMQuadraat"/>
          <w:color w:val="000000"/>
          <w:sz w:val="24"/>
          <w:szCs w:val="24"/>
          <w:lang w:val="en-US"/>
        </w:rPr>
        <w:t xml:space="preserve">l and a metal articular surface inlay with a polyethylene </w:t>
      </w:r>
      <w:r w:rsidRPr="00D164B6">
        <w:rPr>
          <w:rFonts w:asciiTheme="majorHAnsi" w:eastAsia="OTNEJMQuadraat" w:hAnsiTheme="majorHAnsi" w:cs="OTNEJMQuadraat"/>
          <w:color w:val="000000"/>
          <w:sz w:val="24"/>
          <w:szCs w:val="24"/>
          <w:lang w:val="en-US"/>
        </w:rPr>
        <w:t>“sandwich”</w:t>
      </w:r>
      <w:r w:rsidR="00C36515" w:rsidRPr="00D164B6">
        <w:rPr>
          <w:rFonts w:asciiTheme="majorHAnsi" w:eastAsia="OTNEJMQuadraat" w:hAnsiTheme="majorHAnsi" w:cs="OTNEJMQuadraat"/>
          <w:color w:val="000000"/>
          <w:sz w:val="24"/>
          <w:szCs w:val="24"/>
          <w:lang w:val="en-US"/>
        </w:rPr>
        <w:t xml:space="preserve"> </w:t>
      </w:r>
      <w:r w:rsidR="00FC1913" w:rsidRPr="00D164B6">
        <w:rPr>
          <w:rFonts w:asciiTheme="majorHAnsi" w:eastAsia="OTNEJMQuadraat" w:hAnsiTheme="majorHAnsi" w:cs="OTNEJMQuadraat"/>
          <w:color w:val="000000"/>
          <w:sz w:val="24"/>
          <w:szCs w:val="24"/>
          <w:lang w:val="en-US"/>
        </w:rPr>
        <w:t xml:space="preserve">between the two. A second difference was head size: the </w:t>
      </w:r>
      <w:proofErr w:type="spellStart"/>
      <w:r w:rsidR="00FC1913" w:rsidRPr="00D164B6">
        <w:rPr>
          <w:rFonts w:asciiTheme="majorHAnsi" w:eastAsia="OTNEJMQuadraat" w:hAnsiTheme="majorHAnsi" w:cs="OTNEJMQuadraat"/>
          <w:color w:val="000000"/>
          <w:sz w:val="24"/>
          <w:szCs w:val="24"/>
          <w:lang w:val="en-US"/>
        </w:rPr>
        <w:t>Metasul</w:t>
      </w:r>
      <w:proofErr w:type="spellEnd"/>
      <w:r w:rsidR="00FC1913" w:rsidRPr="00D164B6">
        <w:rPr>
          <w:rFonts w:asciiTheme="majorHAnsi" w:eastAsia="OTNEJMQuadraat" w:hAnsiTheme="majorHAnsi" w:cs="OTNEJMQuadraat"/>
          <w:color w:val="000000"/>
          <w:sz w:val="24"/>
          <w:szCs w:val="24"/>
          <w:lang w:val="en-US"/>
        </w:rPr>
        <w:t xml:space="preserve"> had much smaller heads </w:t>
      </w:r>
      <w:r w:rsidRPr="00D164B6">
        <w:rPr>
          <w:rFonts w:asciiTheme="majorHAnsi" w:eastAsia="OTNEJMQuadraat" w:hAnsiTheme="majorHAnsi" w:cs="OTNEJMQuadraat"/>
          <w:color w:val="000000"/>
          <w:sz w:val="24"/>
          <w:szCs w:val="24"/>
          <w:lang w:val="en-US"/>
        </w:rPr>
        <w:t>(≤32 mm) than the ASR XL.</w:t>
      </w:r>
    </w:p>
    <w:p w:rsidR="001761B7" w:rsidRPr="006A6766" w:rsidRDefault="001761B7" w:rsidP="00FC1913">
      <w:pPr>
        <w:autoSpaceDE w:val="0"/>
        <w:autoSpaceDN w:val="0"/>
        <w:adjustRightInd w:val="0"/>
        <w:spacing w:after="0" w:line="240" w:lineRule="auto"/>
        <w:contextualSpacing/>
        <w:mirrorIndents/>
        <w:rPr>
          <w:rFonts w:asciiTheme="majorHAnsi" w:eastAsia="OTNEJMQuadraat" w:hAnsiTheme="majorHAnsi" w:cs="OTNEJMQuadraat"/>
          <w:color w:val="000000"/>
          <w:sz w:val="24"/>
          <w:szCs w:val="24"/>
          <w:lang w:val="en-US"/>
        </w:rPr>
      </w:pPr>
    </w:p>
    <w:p w:rsidR="001761B7" w:rsidRDefault="00FC1913" w:rsidP="00FC1913">
      <w:pPr>
        <w:autoSpaceDE w:val="0"/>
        <w:autoSpaceDN w:val="0"/>
        <w:adjustRightInd w:val="0"/>
        <w:spacing w:after="0" w:line="240" w:lineRule="auto"/>
        <w:contextualSpacing/>
        <w:mirrorIndents/>
        <w:rPr>
          <w:rFonts w:asciiTheme="majorHAnsi" w:hAnsiTheme="majorHAnsi" w:cs="OTNEJMQuadraatSmallCap"/>
          <w:color w:val="000000"/>
          <w:sz w:val="24"/>
          <w:szCs w:val="24"/>
          <w:lang w:val="en-US"/>
        </w:rPr>
      </w:pPr>
      <w:r w:rsidRPr="00D164B6">
        <w:rPr>
          <w:rFonts w:asciiTheme="majorHAnsi" w:eastAsia="OTNEJMQuadraat" w:hAnsiTheme="majorHAnsi" w:cs="OTNEJMQuadraat"/>
          <w:color w:val="000000"/>
          <w:sz w:val="24"/>
          <w:szCs w:val="24"/>
          <w:lang w:val="en-US"/>
        </w:rPr>
        <w:t xml:space="preserve">The use of larger heads was </w:t>
      </w:r>
      <w:r w:rsidR="001C352F" w:rsidRPr="00D164B6">
        <w:rPr>
          <w:rFonts w:asciiTheme="majorHAnsi" w:eastAsia="OTNEJMQuadraat" w:hAnsiTheme="majorHAnsi" w:cs="OTNEJMQuadraat"/>
          <w:color w:val="000000"/>
          <w:sz w:val="24"/>
          <w:szCs w:val="24"/>
          <w:lang w:val="en-US"/>
        </w:rPr>
        <w:t>an import</w:t>
      </w:r>
      <w:r w:rsidRPr="00D164B6">
        <w:rPr>
          <w:rFonts w:asciiTheme="majorHAnsi" w:eastAsia="OTNEJMQuadraat" w:hAnsiTheme="majorHAnsi" w:cs="OTNEJMQuadraat"/>
          <w:color w:val="000000"/>
          <w:sz w:val="24"/>
          <w:szCs w:val="24"/>
          <w:lang w:val="en-US"/>
        </w:rPr>
        <w:t xml:space="preserve">ant characteristic of the ASR XL. The clearance for the </w:t>
      </w:r>
      <w:r w:rsidR="001C352F" w:rsidRPr="00D164B6">
        <w:rPr>
          <w:rFonts w:asciiTheme="majorHAnsi" w:eastAsia="OTNEJMQuadraat" w:hAnsiTheme="majorHAnsi" w:cs="OTNEJMQuadraat"/>
          <w:color w:val="000000"/>
          <w:sz w:val="24"/>
          <w:szCs w:val="24"/>
          <w:lang w:val="en-US"/>
        </w:rPr>
        <w:t>large metal heads with sleeves</w:t>
      </w:r>
      <w:r w:rsidR="00D164B6" w:rsidRPr="00D164B6">
        <w:rPr>
          <w:rFonts w:asciiTheme="majorHAnsi" w:eastAsia="OTNEJMQuadraat" w:hAnsiTheme="majorHAnsi" w:cs="OTNEJMQuadraat"/>
          <w:color w:val="000000"/>
          <w:sz w:val="24"/>
          <w:szCs w:val="24"/>
          <w:lang w:val="en-US"/>
        </w:rPr>
        <w:t xml:space="preserve"> was based in part on predicates that were not used in total hip </w:t>
      </w:r>
      <w:r w:rsidR="00D164B6">
        <w:rPr>
          <w:rFonts w:asciiTheme="majorHAnsi" w:eastAsia="OTNEJMQuadraat" w:hAnsiTheme="majorHAnsi" w:cs="OTNEJMQuadraat"/>
          <w:color w:val="000000"/>
          <w:sz w:val="24"/>
          <w:szCs w:val="24"/>
          <w:lang w:val="en-US"/>
        </w:rPr>
        <w:t xml:space="preserve">replacement but were designed </w:t>
      </w:r>
      <w:r w:rsidR="001C352F" w:rsidRPr="00D164B6">
        <w:rPr>
          <w:rFonts w:asciiTheme="majorHAnsi" w:eastAsia="OTNEJMQuadraat" w:hAnsiTheme="majorHAnsi" w:cs="OTNEJMQuadraat"/>
          <w:color w:val="000000"/>
          <w:sz w:val="24"/>
          <w:szCs w:val="24"/>
          <w:lang w:val="en-US"/>
        </w:rPr>
        <w:t xml:space="preserve">for use in </w:t>
      </w:r>
      <w:r w:rsidR="001C352F" w:rsidRPr="00D164B6">
        <w:rPr>
          <w:rFonts w:asciiTheme="majorHAnsi" w:hAnsiTheme="majorHAnsi" w:cs="OTNEJMQuadraat-Italic"/>
          <w:i/>
          <w:iCs/>
          <w:color w:val="000000"/>
          <w:sz w:val="24"/>
          <w:szCs w:val="24"/>
          <w:lang w:val="en-US"/>
        </w:rPr>
        <w:t xml:space="preserve">partial </w:t>
      </w:r>
      <w:r w:rsidR="00D164B6" w:rsidRPr="00D164B6">
        <w:rPr>
          <w:rFonts w:asciiTheme="majorHAnsi" w:eastAsia="OTNEJMQuadraat" w:hAnsiTheme="majorHAnsi" w:cs="OTNEJMQuadraat"/>
          <w:color w:val="000000"/>
          <w:sz w:val="24"/>
          <w:szCs w:val="24"/>
          <w:lang w:val="en-US"/>
        </w:rPr>
        <w:t xml:space="preserve">hip replacement, in which the large metal heads </w:t>
      </w:r>
      <w:r w:rsidR="001C352F" w:rsidRPr="00D164B6">
        <w:rPr>
          <w:rFonts w:asciiTheme="majorHAnsi" w:eastAsia="OTNEJMQuadraat" w:hAnsiTheme="majorHAnsi" w:cs="OTNEJMQuadraat"/>
          <w:color w:val="000000"/>
          <w:sz w:val="24"/>
          <w:szCs w:val="24"/>
          <w:lang w:val="en-US"/>
        </w:rPr>
        <w:t>articula</w:t>
      </w:r>
      <w:r w:rsidR="00D164B6" w:rsidRPr="00D164B6">
        <w:rPr>
          <w:rFonts w:asciiTheme="majorHAnsi" w:eastAsia="OTNEJMQuadraat" w:hAnsiTheme="majorHAnsi" w:cs="OTNEJMQuadraat"/>
          <w:color w:val="000000"/>
          <w:sz w:val="24"/>
          <w:szCs w:val="24"/>
          <w:lang w:val="en-US"/>
        </w:rPr>
        <w:t xml:space="preserve">te with the natural articular cartilage of the acetabulum, not with a metal cup. This ancestry reveals serious </w:t>
      </w:r>
      <w:r w:rsidR="001C352F" w:rsidRPr="00D164B6">
        <w:rPr>
          <w:rFonts w:asciiTheme="majorHAnsi" w:eastAsia="OTNEJMQuadraat" w:hAnsiTheme="majorHAnsi" w:cs="OTNEJMQuadraat"/>
          <w:color w:val="000000"/>
          <w:sz w:val="24"/>
          <w:szCs w:val="24"/>
          <w:lang w:val="en-US"/>
        </w:rPr>
        <w:t>fl</w:t>
      </w:r>
      <w:r w:rsidR="00D164B6" w:rsidRPr="00D164B6">
        <w:rPr>
          <w:rFonts w:asciiTheme="majorHAnsi" w:eastAsia="OTNEJMQuadraat" w:hAnsiTheme="majorHAnsi" w:cs="OTNEJMQuadraat"/>
          <w:color w:val="000000"/>
          <w:sz w:val="24"/>
          <w:szCs w:val="24"/>
          <w:lang w:val="en-US"/>
        </w:rPr>
        <w:t xml:space="preserve">aws in the 510(k) procedure for metal-on metal hips, which resulted in clearance of a new device that was never shown to be </w:t>
      </w:r>
      <w:r w:rsidR="001C352F" w:rsidRPr="00D164B6">
        <w:rPr>
          <w:rFonts w:asciiTheme="majorHAnsi" w:eastAsia="OTNEJMQuadraat" w:hAnsiTheme="majorHAnsi" w:cs="OTNEJMQuadraat"/>
          <w:color w:val="000000"/>
          <w:sz w:val="24"/>
          <w:szCs w:val="24"/>
          <w:lang w:val="en-US"/>
        </w:rPr>
        <w:t>safe and effective.</w:t>
      </w:r>
      <w:r w:rsidR="00D164B6" w:rsidRPr="00D164B6">
        <w:rPr>
          <w:rFonts w:asciiTheme="majorHAnsi" w:eastAsia="OTNEJMQuadraat" w:hAnsiTheme="majorHAnsi" w:cs="OTNEJMQuadraat"/>
          <w:color w:val="000000"/>
          <w:sz w:val="24"/>
          <w:szCs w:val="24"/>
          <w:lang w:val="en-US"/>
        </w:rPr>
        <w:t xml:space="preserve"> A clinical trial might have identified the high </w:t>
      </w:r>
      <w:r w:rsidRPr="00D164B6">
        <w:rPr>
          <w:rFonts w:asciiTheme="majorHAnsi" w:eastAsia="OTNEJMQuadraat" w:hAnsiTheme="majorHAnsi" w:cs="OTNEJMQuadraat"/>
          <w:color w:val="000000"/>
          <w:sz w:val="24"/>
          <w:szCs w:val="24"/>
          <w:lang w:val="en-US"/>
        </w:rPr>
        <w:t xml:space="preserve">revision rate of the ASR, which became evident after 9 months when it was compared with all </w:t>
      </w:r>
      <w:r w:rsidR="001C352F" w:rsidRPr="00D164B6">
        <w:rPr>
          <w:rFonts w:asciiTheme="majorHAnsi" w:eastAsia="OTNEJMQuadraat" w:hAnsiTheme="majorHAnsi" w:cs="OTNEJMQuadraat"/>
          <w:color w:val="000000"/>
          <w:sz w:val="24"/>
          <w:szCs w:val="24"/>
          <w:lang w:val="en-US"/>
        </w:rPr>
        <w:t>other to</w:t>
      </w:r>
      <w:r w:rsidRPr="00D164B6">
        <w:rPr>
          <w:rFonts w:asciiTheme="majorHAnsi" w:eastAsia="OTNEJMQuadraat" w:hAnsiTheme="majorHAnsi" w:cs="OTNEJMQuadraat"/>
          <w:color w:val="000000"/>
          <w:sz w:val="24"/>
          <w:szCs w:val="24"/>
          <w:lang w:val="en-US"/>
        </w:rPr>
        <w:t xml:space="preserve">tal conventional hip prostheses in the Australian Joint </w:t>
      </w:r>
      <w:r w:rsidR="001C352F" w:rsidRPr="00D164B6">
        <w:rPr>
          <w:rFonts w:asciiTheme="majorHAnsi" w:eastAsia="OTNEJMQuadraat" w:hAnsiTheme="majorHAnsi" w:cs="OTNEJMQuadraat"/>
          <w:color w:val="000000"/>
          <w:sz w:val="24"/>
          <w:szCs w:val="24"/>
          <w:lang w:val="en-US"/>
        </w:rPr>
        <w:t>Reg</w:t>
      </w:r>
      <w:r w:rsidRPr="00D164B6">
        <w:rPr>
          <w:rFonts w:asciiTheme="majorHAnsi" w:eastAsia="OTNEJMQuadraat" w:hAnsiTheme="majorHAnsi" w:cs="OTNEJMQuadraat"/>
          <w:color w:val="000000"/>
          <w:sz w:val="24"/>
          <w:szCs w:val="24"/>
          <w:lang w:val="en-US"/>
        </w:rPr>
        <w:t xml:space="preserve">istry (9-month-to-1-year hazard ratio, adjusted for age and </w:t>
      </w:r>
      <w:r w:rsidR="001C352F" w:rsidRPr="00D164B6">
        <w:rPr>
          <w:rFonts w:asciiTheme="majorHAnsi" w:eastAsia="OTNEJMQuadraat" w:hAnsiTheme="majorHAnsi" w:cs="OTNEJMQuadraat"/>
          <w:color w:val="000000"/>
          <w:sz w:val="24"/>
          <w:szCs w:val="24"/>
          <w:lang w:val="en-US"/>
        </w:rPr>
        <w:t>sex,</w:t>
      </w:r>
      <w:r w:rsidRPr="00D164B6">
        <w:rPr>
          <w:rFonts w:asciiTheme="majorHAnsi" w:eastAsia="OTNEJMQuadraat" w:hAnsiTheme="majorHAnsi" w:cs="OTNEJMQuadraat"/>
          <w:color w:val="000000"/>
          <w:sz w:val="24"/>
          <w:szCs w:val="24"/>
          <w:lang w:val="en-US"/>
        </w:rPr>
        <w:t xml:space="preserve"> 2.62 [95% confidence interval, </w:t>
      </w:r>
      <w:r w:rsidR="001C352F" w:rsidRPr="00D164B6">
        <w:rPr>
          <w:rFonts w:asciiTheme="majorHAnsi" w:eastAsia="OTNEJMQuadraat" w:hAnsiTheme="majorHAnsi" w:cs="OTNEJMQuadraat"/>
          <w:color w:val="000000"/>
          <w:sz w:val="24"/>
          <w:szCs w:val="24"/>
          <w:lang w:val="en-US"/>
        </w:rPr>
        <w:t>1.67 to 4.11]) and which preci</w:t>
      </w:r>
      <w:r w:rsidRPr="00D164B6">
        <w:rPr>
          <w:rFonts w:asciiTheme="majorHAnsi" w:eastAsia="OTNEJMQuadraat" w:hAnsiTheme="majorHAnsi" w:cs="OTNEJMQuadraat"/>
          <w:color w:val="000000"/>
          <w:sz w:val="24"/>
          <w:szCs w:val="24"/>
          <w:lang w:val="en-US"/>
        </w:rPr>
        <w:t xml:space="preserve">pitously </w:t>
      </w:r>
      <w:r w:rsidR="001C352F" w:rsidRPr="00D164B6">
        <w:rPr>
          <w:rFonts w:asciiTheme="majorHAnsi" w:eastAsia="OTNEJMQuadraat" w:hAnsiTheme="majorHAnsi" w:cs="OTNEJMQuadraat"/>
          <w:color w:val="000000"/>
          <w:sz w:val="24"/>
          <w:szCs w:val="24"/>
          <w:lang w:val="en-US"/>
        </w:rPr>
        <w:t>worsened over time.</w:t>
      </w:r>
      <w:r w:rsidRPr="00D164B6">
        <w:rPr>
          <w:rFonts w:asciiTheme="majorHAnsi" w:hAnsiTheme="majorHAnsi" w:cs="OTNEJMQuadraatSmallCap"/>
          <w:color w:val="000000"/>
          <w:sz w:val="24"/>
          <w:szCs w:val="24"/>
          <w:lang w:val="en-US"/>
        </w:rPr>
        <w:t xml:space="preserve">5 </w:t>
      </w:r>
    </w:p>
    <w:p w:rsidR="001761B7" w:rsidRPr="006A6766" w:rsidRDefault="001761B7" w:rsidP="00FC1913">
      <w:pPr>
        <w:autoSpaceDE w:val="0"/>
        <w:autoSpaceDN w:val="0"/>
        <w:adjustRightInd w:val="0"/>
        <w:spacing w:after="0" w:line="240" w:lineRule="auto"/>
        <w:contextualSpacing/>
        <w:mirrorIndents/>
        <w:rPr>
          <w:rFonts w:asciiTheme="majorHAnsi" w:hAnsiTheme="majorHAnsi" w:cs="OTNEJMQuadraatSmallCap"/>
          <w:color w:val="000000"/>
          <w:sz w:val="24"/>
          <w:szCs w:val="24"/>
          <w:lang w:val="en-US"/>
        </w:rPr>
      </w:pPr>
    </w:p>
    <w:p w:rsidR="001C352F" w:rsidRDefault="00FC1913" w:rsidP="00FC1913">
      <w:pPr>
        <w:autoSpaceDE w:val="0"/>
        <w:autoSpaceDN w:val="0"/>
        <w:adjustRightInd w:val="0"/>
        <w:spacing w:after="0" w:line="240" w:lineRule="auto"/>
        <w:contextualSpacing/>
        <w:mirrorIndents/>
        <w:rPr>
          <w:rFonts w:asciiTheme="majorHAnsi" w:eastAsia="OTNEJMQuadraat" w:hAnsiTheme="majorHAnsi" w:cs="OTNEJMQuadraat"/>
          <w:color w:val="000000"/>
          <w:sz w:val="24"/>
          <w:szCs w:val="24"/>
          <w:lang w:val="en-US"/>
        </w:rPr>
      </w:pPr>
      <w:r w:rsidRPr="00D164B6">
        <w:rPr>
          <w:rFonts w:asciiTheme="majorHAnsi" w:eastAsia="OTNEJMQuadraat" w:hAnsiTheme="majorHAnsi" w:cs="OTNEJMQuadraat"/>
          <w:color w:val="000000"/>
          <w:sz w:val="24"/>
          <w:szCs w:val="24"/>
          <w:lang w:val="en-US"/>
        </w:rPr>
        <w:t xml:space="preserve">As thousands of Americans are </w:t>
      </w:r>
      <w:r w:rsidR="001C352F" w:rsidRPr="00D164B6">
        <w:rPr>
          <w:rFonts w:asciiTheme="majorHAnsi" w:eastAsia="OTNEJMQuadraat" w:hAnsiTheme="majorHAnsi" w:cs="OTNEJMQuadraat"/>
          <w:color w:val="000000"/>
          <w:sz w:val="24"/>
          <w:szCs w:val="24"/>
          <w:lang w:val="en-US"/>
        </w:rPr>
        <w:t>painfu</w:t>
      </w:r>
      <w:r w:rsidRPr="00D164B6">
        <w:rPr>
          <w:rFonts w:asciiTheme="majorHAnsi" w:eastAsia="OTNEJMQuadraat" w:hAnsiTheme="majorHAnsi" w:cs="OTNEJMQuadraat"/>
          <w:color w:val="000000"/>
          <w:sz w:val="24"/>
          <w:szCs w:val="24"/>
          <w:lang w:val="en-US"/>
        </w:rPr>
        <w:t xml:space="preserve">lly learning, there are unknown risks with devices that </w:t>
      </w:r>
      <w:r w:rsidR="001C352F" w:rsidRPr="00D164B6">
        <w:rPr>
          <w:rFonts w:asciiTheme="majorHAnsi" w:eastAsia="OTNEJMQuadraat" w:hAnsiTheme="majorHAnsi" w:cs="OTNEJMQuadraat"/>
          <w:color w:val="000000"/>
          <w:sz w:val="24"/>
          <w:szCs w:val="24"/>
          <w:lang w:val="en-US"/>
        </w:rPr>
        <w:t>en</w:t>
      </w:r>
      <w:r w:rsidRPr="00D164B6">
        <w:rPr>
          <w:rFonts w:asciiTheme="majorHAnsi" w:eastAsia="OTNEJMQuadraat" w:hAnsiTheme="majorHAnsi" w:cs="OTNEJMQuadraat"/>
          <w:color w:val="000000"/>
          <w:sz w:val="24"/>
          <w:szCs w:val="24"/>
          <w:lang w:val="en-US"/>
        </w:rPr>
        <w:t xml:space="preserve">ter the market without clinical </w:t>
      </w:r>
      <w:r w:rsidR="001C352F" w:rsidRPr="00D164B6">
        <w:rPr>
          <w:rFonts w:asciiTheme="majorHAnsi" w:eastAsia="OTNEJMQuadraat" w:hAnsiTheme="majorHAnsi" w:cs="OTNEJMQuadraat"/>
          <w:color w:val="000000"/>
          <w:sz w:val="24"/>
          <w:szCs w:val="24"/>
          <w:lang w:val="en-US"/>
        </w:rPr>
        <w:t>data sh</w:t>
      </w:r>
      <w:r w:rsidRPr="00D164B6">
        <w:rPr>
          <w:rFonts w:asciiTheme="majorHAnsi" w:eastAsia="OTNEJMQuadraat" w:hAnsiTheme="majorHAnsi" w:cs="OTNEJMQuadraat"/>
          <w:color w:val="000000"/>
          <w:sz w:val="24"/>
          <w:szCs w:val="24"/>
          <w:lang w:val="en-US"/>
        </w:rPr>
        <w:t xml:space="preserve">owing safety and effectiveness, and implanted body parts cannot be recalled as easily as </w:t>
      </w:r>
      <w:r w:rsidR="001C352F" w:rsidRPr="00D164B6">
        <w:rPr>
          <w:rFonts w:asciiTheme="majorHAnsi" w:eastAsia="OTNEJMQuadraat" w:hAnsiTheme="majorHAnsi" w:cs="OTNEJMQuadraat"/>
          <w:color w:val="000000"/>
          <w:sz w:val="24"/>
          <w:szCs w:val="24"/>
          <w:lang w:val="en-US"/>
        </w:rPr>
        <w:t>defe</w:t>
      </w:r>
      <w:r w:rsidRPr="00D164B6">
        <w:rPr>
          <w:rFonts w:asciiTheme="majorHAnsi" w:eastAsia="OTNEJMQuadraat" w:hAnsiTheme="majorHAnsi" w:cs="OTNEJMQuadraat"/>
          <w:color w:val="000000"/>
          <w:sz w:val="24"/>
          <w:szCs w:val="24"/>
          <w:lang w:val="en-US"/>
        </w:rPr>
        <w:t xml:space="preserve">ctive auto parts. The recently passed Medical Device User Fee and Modernization Act contains a provision that should make it easier for the FDA to close the loophole for the remaining 19 </w:t>
      </w:r>
      <w:r w:rsidR="001C352F" w:rsidRPr="00D164B6">
        <w:rPr>
          <w:rFonts w:asciiTheme="majorHAnsi" w:eastAsia="OTNEJMQuadraat" w:hAnsiTheme="majorHAnsi" w:cs="OTNEJMQuadraat"/>
          <w:color w:val="000000"/>
          <w:sz w:val="24"/>
          <w:szCs w:val="24"/>
          <w:lang w:val="en-US"/>
        </w:rPr>
        <w:t>cl</w:t>
      </w:r>
      <w:r w:rsidRPr="00D164B6">
        <w:rPr>
          <w:rFonts w:asciiTheme="majorHAnsi" w:eastAsia="OTNEJMQuadraat" w:hAnsiTheme="majorHAnsi" w:cs="OTNEJMQuadraat"/>
          <w:color w:val="000000"/>
          <w:sz w:val="24"/>
          <w:szCs w:val="24"/>
          <w:lang w:val="en-US"/>
        </w:rPr>
        <w:t xml:space="preserve">ass III devices by allowing the agency to reclassify devices by </w:t>
      </w:r>
      <w:r w:rsidR="001C352F" w:rsidRPr="00D164B6">
        <w:rPr>
          <w:rFonts w:asciiTheme="majorHAnsi" w:eastAsia="OTNEJMQuadraat" w:hAnsiTheme="majorHAnsi" w:cs="OTNEJMQuadraat"/>
          <w:color w:val="000000"/>
          <w:sz w:val="24"/>
          <w:szCs w:val="24"/>
          <w:lang w:val="en-US"/>
        </w:rPr>
        <w:t xml:space="preserve">order </w:t>
      </w:r>
      <w:r w:rsidRPr="00D164B6">
        <w:rPr>
          <w:rFonts w:asciiTheme="majorHAnsi" w:eastAsia="OTNEJMQuadraat" w:hAnsiTheme="majorHAnsi" w:cs="OTNEJMQuadraat"/>
          <w:color w:val="000000"/>
          <w:sz w:val="24"/>
          <w:szCs w:val="24"/>
          <w:lang w:val="en-US"/>
        </w:rPr>
        <w:t xml:space="preserve">rather than through regulation. </w:t>
      </w:r>
      <w:r w:rsidRPr="006A6766">
        <w:rPr>
          <w:rFonts w:asciiTheme="majorHAnsi" w:eastAsia="OTNEJMQuadraat" w:hAnsiTheme="majorHAnsi" w:cs="OTNEJMQuadraat"/>
          <w:color w:val="000000"/>
          <w:sz w:val="24"/>
          <w:szCs w:val="24"/>
          <w:lang w:val="en-US"/>
        </w:rPr>
        <w:t xml:space="preserve">There would be value in </w:t>
      </w:r>
      <w:r w:rsidR="001C352F" w:rsidRPr="006A6766">
        <w:rPr>
          <w:rFonts w:asciiTheme="majorHAnsi" w:eastAsia="OTNEJMQuadraat" w:hAnsiTheme="majorHAnsi" w:cs="OTNEJMQuadraat"/>
          <w:color w:val="000000"/>
          <w:sz w:val="24"/>
          <w:szCs w:val="24"/>
          <w:lang w:val="en-US"/>
        </w:rPr>
        <w:t>an FDA-sanctioned registry.</w:t>
      </w:r>
    </w:p>
    <w:p w:rsidR="00A83251" w:rsidRDefault="00A83251" w:rsidP="00FC1913">
      <w:pPr>
        <w:autoSpaceDE w:val="0"/>
        <w:autoSpaceDN w:val="0"/>
        <w:adjustRightInd w:val="0"/>
        <w:spacing w:after="0" w:line="240" w:lineRule="auto"/>
        <w:contextualSpacing/>
        <w:mirrorIndents/>
        <w:rPr>
          <w:rFonts w:asciiTheme="majorHAnsi" w:eastAsia="OTNEJMQuadraat" w:hAnsiTheme="majorHAnsi" w:cs="OTNEJMQuadraat"/>
          <w:color w:val="000000"/>
          <w:sz w:val="24"/>
          <w:szCs w:val="24"/>
          <w:lang w:val="en-US"/>
        </w:rPr>
      </w:pPr>
    </w:p>
    <w:p w:rsidR="00A83251" w:rsidRPr="00A83251" w:rsidRDefault="00A83251" w:rsidP="00A83251">
      <w:pPr>
        <w:autoSpaceDE w:val="0"/>
        <w:autoSpaceDN w:val="0"/>
        <w:adjustRightInd w:val="0"/>
        <w:spacing w:after="0" w:line="240" w:lineRule="auto"/>
        <w:rPr>
          <w:rFonts w:ascii="OTNEJMScalaSansLF" w:hAnsi="OTNEJMScalaSansLF" w:cs="OTNEJMScalaSansLF"/>
          <w:color w:val="000000"/>
          <w:sz w:val="15"/>
          <w:szCs w:val="15"/>
          <w:lang w:val="en-US"/>
        </w:rPr>
      </w:pPr>
      <w:r w:rsidRPr="00A83251">
        <w:rPr>
          <w:rFonts w:ascii="OTNEJMScalaSansLF" w:hAnsi="OTNEJMScalaSansLF" w:cs="OTNEJMScalaSansLF"/>
          <w:color w:val="000000"/>
          <w:sz w:val="15"/>
          <w:szCs w:val="15"/>
          <w:lang w:val="en-US"/>
        </w:rPr>
        <w:t>From the</w:t>
      </w:r>
      <w:r>
        <w:rPr>
          <w:rFonts w:ascii="OTNEJMScalaSansLF" w:hAnsi="OTNEJMScalaSansLF" w:cs="OTNEJMScalaSansLF"/>
          <w:color w:val="000000"/>
          <w:sz w:val="15"/>
          <w:szCs w:val="15"/>
          <w:lang w:val="en-US"/>
        </w:rPr>
        <w:t xml:space="preserve"> Framingham Heart Study, Boston </w:t>
      </w:r>
      <w:r w:rsidRPr="00A83251">
        <w:rPr>
          <w:rFonts w:ascii="OTNEJMScalaSansLF" w:hAnsi="OTNEJMScalaSansLF" w:cs="OTNEJMScalaSansLF"/>
          <w:color w:val="000000"/>
          <w:sz w:val="15"/>
          <w:szCs w:val="15"/>
          <w:lang w:val="en-US"/>
        </w:rPr>
        <w:t>Univer</w:t>
      </w:r>
      <w:r>
        <w:rPr>
          <w:rFonts w:ascii="OTNEJMScalaSansLF" w:hAnsi="OTNEJMScalaSansLF" w:cs="OTNEJMScalaSansLF"/>
          <w:color w:val="000000"/>
          <w:sz w:val="15"/>
          <w:szCs w:val="15"/>
          <w:lang w:val="en-US"/>
        </w:rPr>
        <w:t xml:space="preserve">sity School of Medicine, Boston </w:t>
      </w:r>
      <w:r w:rsidRPr="00A83251">
        <w:rPr>
          <w:rFonts w:ascii="OTNEJMScalaSansLF" w:hAnsi="OTNEJMScalaSansLF" w:cs="OTNEJMScalaSansLF"/>
          <w:color w:val="000000"/>
          <w:sz w:val="15"/>
          <w:szCs w:val="15"/>
          <w:lang w:val="en-US"/>
        </w:rPr>
        <w:t>(B.M.A.); the Aus</w:t>
      </w:r>
      <w:r>
        <w:rPr>
          <w:rFonts w:ascii="OTNEJMScalaSansLF" w:hAnsi="OTNEJMScalaSansLF" w:cs="OTNEJMScalaSansLF"/>
          <w:color w:val="000000"/>
          <w:sz w:val="15"/>
          <w:szCs w:val="15"/>
          <w:lang w:val="en-US"/>
        </w:rPr>
        <w:t xml:space="preserve">tralian </w:t>
      </w:r>
      <w:proofErr w:type="spellStart"/>
      <w:r>
        <w:rPr>
          <w:rFonts w:ascii="OTNEJMScalaSansLF" w:hAnsi="OTNEJMScalaSansLF" w:cs="OTNEJMScalaSansLF"/>
          <w:color w:val="000000"/>
          <w:sz w:val="15"/>
          <w:szCs w:val="15"/>
          <w:lang w:val="en-US"/>
        </w:rPr>
        <w:t>Orthopaedic</w:t>
      </w:r>
      <w:proofErr w:type="spellEnd"/>
      <w:r>
        <w:rPr>
          <w:rFonts w:ascii="OTNEJMScalaSansLF" w:hAnsi="OTNEJMScalaSansLF" w:cs="OTNEJMScalaSansLF"/>
          <w:color w:val="000000"/>
          <w:sz w:val="15"/>
          <w:szCs w:val="15"/>
          <w:lang w:val="en-US"/>
        </w:rPr>
        <w:t xml:space="preserve"> Association </w:t>
      </w:r>
      <w:r w:rsidRPr="00A83251">
        <w:rPr>
          <w:rFonts w:ascii="OTNEJMScalaSansLF" w:hAnsi="OTNEJMScalaSansLF" w:cs="OTNEJMScalaSansLF"/>
          <w:color w:val="000000"/>
          <w:sz w:val="15"/>
          <w:szCs w:val="15"/>
          <w:lang w:val="en-US"/>
        </w:rPr>
        <w:t>National Joint Replacement Regi</w:t>
      </w:r>
      <w:r>
        <w:rPr>
          <w:rFonts w:ascii="OTNEJMScalaSansLF" w:hAnsi="OTNEJMScalaSansLF" w:cs="OTNEJMScalaSansLF"/>
          <w:color w:val="000000"/>
          <w:sz w:val="15"/>
          <w:szCs w:val="15"/>
          <w:lang w:val="en-US"/>
        </w:rPr>
        <w:t xml:space="preserve">stry </w:t>
      </w:r>
      <w:r w:rsidRPr="00A83251">
        <w:rPr>
          <w:rFonts w:ascii="OTNEJMScalaSansLF" w:hAnsi="OTNEJMScalaSansLF" w:cs="OTNEJMScalaSansLF"/>
          <w:color w:val="000000"/>
          <w:sz w:val="15"/>
          <w:szCs w:val="15"/>
          <w:lang w:val="en-US"/>
        </w:rPr>
        <w:t xml:space="preserve">and the </w:t>
      </w:r>
      <w:r>
        <w:rPr>
          <w:rFonts w:ascii="OTNEJMScalaSansLF" w:hAnsi="OTNEJMScalaSansLF" w:cs="OTNEJMScalaSansLF"/>
          <w:color w:val="000000"/>
          <w:sz w:val="15"/>
          <w:szCs w:val="15"/>
          <w:lang w:val="en-US"/>
        </w:rPr>
        <w:t xml:space="preserve">Department of Surgery, Flinders </w:t>
      </w:r>
      <w:r w:rsidRPr="00A83251">
        <w:rPr>
          <w:rFonts w:ascii="OTNEJMScalaSansLF" w:hAnsi="OTNEJMScalaSansLF" w:cs="OTNEJMScalaSansLF"/>
          <w:color w:val="000000"/>
          <w:sz w:val="15"/>
          <w:szCs w:val="15"/>
          <w:lang w:val="en-US"/>
        </w:rPr>
        <w:t xml:space="preserve">University — </w:t>
      </w:r>
      <w:r>
        <w:rPr>
          <w:rFonts w:ascii="OTNEJMScalaSansLF" w:hAnsi="OTNEJMScalaSansLF" w:cs="OTNEJMScalaSansLF"/>
          <w:color w:val="000000"/>
          <w:sz w:val="15"/>
          <w:szCs w:val="15"/>
          <w:lang w:val="en-US"/>
        </w:rPr>
        <w:t xml:space="preserve">both in Adelaide, SA, Australia </w:t>
      </w:r>
      <w:r w:rsidRPr="00A83251">
        <w:rPr>
          <w:rFonts w:ascii="OTNEJMScalaSansLF" w:hAnsi="OTNEJMScalaSansLF" w:cs="OTNEJMScalaSansLF"/>
          <w:color w:val="000000"/>
          <w:sz w:val="15"/>
          <w:szCs w:val="15"/>
          <w:lang w:val="en-US"/>
        </w:rPr>
        <w:t xml:space="preserve">(S.E.G.); </w:t>
      </w:r>
      <w:r>
        <w:rPr>
          <w:rFonts w:ascii="OTNEJMScalaSansLF" w:hAnsi="OTNEJMScalaSansLF" w:cs="OTNEJMScalaSansLF"/>
          <w:color w:val="000000"/>
          <w:sz w:val="15"/>
          <w:szCs w:val="15"/>
          <w:lang w:val="en-US"/>
        </w:rPr>
        <w:t xml:space="preserve">and the Division of Cardiology, </w:t>
      </w:r>
      <w:r w:rsidRPr="00A83251">
        <w:rPr>
          <w:rFonts w:ascii="OTNEJMScalaSansLF" w:hAnsi="OTNEJMScalaSansLF" w:cs="OTNEJMScalaSansLF"/>
          <w:color w:val="000000"/>
          <w:sz w:val="15"/>
          <w:szCs w:val="15"/>
          <w:lang w:val="en-US"/>
        </w:rPr>
        <w:t>Department of Medi</w:t>
      </w:r>
      <w:r>
        <w:rPr>
          <w:rFonts w:ascii="OTNEJMScalaSansLF" w:hAnsi="OTNEJMScalaSansLF" w:cs="OTNEJMScalaSansLF"/>
          <w:color w:val="000000"/>
          <w:sz w:val="15"/>
          <w:szCs w:val="15"/>
          <w:lang w:val="en-US"/>
        </w:rPr>
        <w:t xml:space="preserve">cine, University of California, San Francisco, San Francisco </w:t>
      </w:r>
      <w:r w:rsidRPr="00A83251">
        <w:rPr>
          <w:rFonts w:ascii="OTNEJMScalaSansLF" w:hAnsi="OTNEJMScalaSansLF" w:cs="OTNEJMScalaSansLF"/>
          <w:color w:val="000000"/>
          <w:sz w:val="15"/>
          <w:szCs w:val="15"/>
          <w:lang w:val="en-US"/>
        </w:rPr>
        <w:t>(R.F.R.).</w:t>
      </w:r>
    </w:p>
    <w:p w:rsidR="00A83251" w:rsidRPr="00A83251" w:rsidRDefault="00A83251" w:rsidP="00A83251">
      <w:pPr>
        <w:autoSpaceDE w:val="0"/>
        <w:autoSpaceDN w:val="0"/>
        <w:adjustRightInd w:val="0"/>
        <w:spacing w:after="0" w:line="240" w:lineRule="auto"/>
        <w:rPr>
          <w:rFonts w:ascii="OTNEJMScalaSansLF" w:hAnsi="OTNEJMScalaSansLF" w:cs="OTNEJMScalaSansLF"/>
          <w:color w:val="000000"/>
          <w:sz w:val="15"/>
          <w:szCs w:val="15"/>
          <w:lang w:val="en-US"/>
        </w:rPr>
      </w:pPr>
      <w:r w:rsidRPr="00A83251">
        <w:rPr>
          <w:rFonts w:ascii="OTNEJMScalaSansLF-Bold" w:hAnsi="OTNEJMScalaSansLF-Bold" w:cs="OTNEJMScalaSansLF-Bold"/>
          <w:b/>
          <w:bCs/>
          <w:color w:val="000000"/>
          <w:sz w:val="15"/>
          <w:szCs w:val="15"/>
          <w:lang w:val="en-US"/>
        </w:rPr>
        <w:t xml:space="preserve">1. </w:t>
      </w:r>
      <w:r w:rsidRPr="00A83251">
        <w:rPr>
          <w:rFonts w:ascii="OTNEJMScalaSansLF" w:hAnsi="OTNEJMScalaSansLF" w:cs="OTNEJMScalaSansLF"/>
          <w:color w:val="000000"/>
          <w:sz w:val="15"/>
          <w:szCs w:val="15"/>
          <w:lang w:val="en-US"/>
        </w:rPr>
        <w:t>Institute of Medicine. Medical d</w:t>
      </w:r>
      <w:r>
        <w:rPr>
          <w:rFonts w:ascii="OTNEJMScalaSansLF" w:hAnsi="OTNEJMScalaSansLF" w:cs="OTNEJMScalaSansLF"/>
          <w:color w:val="000000"/>
          <w:sz w:val="15"/>
          <w:szCs w:val="15"/>
          <w:lang w:val="en-US"/>
        </w:rPr>
        <w:t xml:space="preserve">evices </w:t>
      </w:r>
      <w:r w:rsidRPr="00A83251">
        <w:rPr>
          <w:rFonts w:ascii="OTNEJMScalaSansLF" w:hAnsi="OTNEJMScalaSansLF" w:cs="OTNEJMScalaSansLF"/>
          <w:color w:val="000000"/>
          <w:sz w:val="15"/>
          <w:szCs w:val="15"/>
          <w:lang w:val="en-US"/>
        </w:rPr>
        <w:t>and the public’s h</w:t>
      </w:r>
      <w:r>
        <w:rPr>
          <w:rFonts w:ascii="OTNEJMScalaSansLF" w:hAnsi="OTNEJMScalaSansLF" w:cs="OTNEJMScalaSansLF"/>
          <w:color w:val="000000"/>
          <w:sz w:val="15"/>
          <w:szCs w:val="15"/>
          <w:lang w:val="en-US"/>
        </w:rPr>
        <w:t xml:space="preserve">ealth: the FDA 510(k) clearance </w:t>
      </w:r>
      <w:r w:rsidRPr="00A83251">
        <w:rPr>
          <w:rFonts w:ascii="OTNEJMScalaSansLF" w:hAnsi="OTNEJMScalaSansLF" w:cs="OTNEJMScalaSansLF"/>
          <w:color w:val="000000"/>
          <w:sz w:val="15"/>
          <w:szCs w:val="15"/>
          <w:lang w:val="en-US"/>
        </w:rPr>
        <w:t>proce</w:t>
      </w:r>
      <w:r>
        <w:rPr>
          <w:rFonts w:ascii="OTNEJMScalaSansLF" w:hAnsi="OTNEJMScalaSansLF" w:cs="OTNEJMScalaSansLF"/>
          <w:color w:val="000000"/>
          <w:sz w:val="15"/>
          <w:szCs w:val="15"/>
          <w:lang w:val="en-US"/>
        </w:rPr>
        <w:t xml:space="preserve">ss at 35 years. Washington, DC: </w:t>
      </w:r>
      <w:r w:rsidRPr="00A83251">
        <w:rPr>
          <w:rFonts w:ascii="OTNEJMScalaSansLF" w:hAnsi="OTNEJMScalaSansLF" w:cs="OTNEJMScalaSansLF"/>
          <w:color w:val="000000"/>
          <w:sz w:val="15"/>
          <w:szCs w:val="15"/>
          <w:lang w:val="en-US"/>
        </w:rPr>
        <w:t>National Academies Press, 2011.</w:t>
      </w:r>
    </w:p>
    <w:p w:rsidR="00A83251" w:rsidRPr="00A83251" w:rsidRDefault="00A83251" w:rsidP="00A83251">
      <w:pPr>
        <w:autoSpaceDE w:val="0"/>
        <w:autoSpaceDN w:val="0"/>
        <w:adjustRightInd w:val="0"/>
        <w:spacing w:after="0" w:line="240" w:lineRule="auto"/>
        <w:rPr>
          <w:rFonts w:ascii="OTNEJMScalaSansLF" w:hAnsi="OTNEJMScalaSansLF" w:cs="OTNEJMScalaSansLF"/>
          <w:color w:val="000000"/>
          <w:sz w:val="15"/>
          <w:szCs w:val="15"/>
          <w:lang w:val="en-US"/>
        </w:rPr>
      </w:pPr>
      <w:r w:rsidRPr="00A83251">
        <w:rPr>
          <w:rFonts w:ascii="OTNEJMScalaSansLF-Bold" w:hAnsi="OTNEJMScalaSansLF-Bold" w:cs="OTNEJMScalaSansLF-Bold"/>
          <w:b/>
          <w:bCs/>
          <w:color w:val="000000"/>
          <w:sz w:val="15"/>
          <w:szCs w:val="15"/>
          <w:lang w:val="en-US"/>
        </w:rPr>
        <w:t xml:space="preserve">2. </w:t>
      </w:r>
      <w:r w:rsidRPr="00A83251">
        <w:rPr>
          <w:rFonts w:ascii="OTNEJMScalaSansLF" w:hAnsi="OTNEJMScalaSansLF" w:cs="OTNEJMScalaSansLF"/>
          <w:color w:val="000000"/>
          <w:sz w:val="15"/>
          <w:szCs w:val="15"/>
          <w:lang w:val="en-US"/>
        </w:rPr>
        <w:t>Cent</w:t>
      </w:r>
      <w:r>
        <w:rPr>
          <w:rFonts w:ascii="OTNEJMScalaSansLF" w:hAnsi="OTNEJMScalaSansLF" w:cs="OTNEJMScalaSansLF"/>
          <w:color w:val="000000"/>
          <w:sz w:val="15"/>
          <w:szCs w:val="15"/>
          <w:lang w:val="en-US"/>
        </w:rPr>
        <w:t xml:space="preserve">er for Devices and Radiological </w:t>
      </w:r>
      <w:r w:rsidRPr="00A83251">
        <w:rPr>
          <w:rFonts w:ascii="OTNEJMScalaSansLF" w:hAnsi="OTNEJMScalaSansLF" w:cs="OTNEJMScalaSansLF"/>
          <w:color w:val="000000"/>
          <w:sz w:val="15"/>
          <w:szCs w:val="15"/>
          <w:lang w:val="en-US"/>
        </w:rPr>
        <w:t>Health. CDRH 20</w:t>
      </w:r>
      <w:r>
        <w:rPr>
          <w:rFonts w:ascii="OTNEJMScalaSansLF" w:hAnsi="OTNEJMScalaSansLF" w:cs="OTNEJMScalaSansLF"/>
          <w:color w:val="000000"/>
          <w:sz w:val="15"/>
          <w:szCs w:val="15"/>
          <w:lang w:val="en-US"/>
        </w:rPr>
        <w:t xml:space="preserve">12 strategic priorities. Silver </w:t>
      </w:r>
      <w:r w:rsidRPr="00A83251">
        <w:rPr>
          <w:rFonts w:ascii="OTNEJMScalaSansLF" w:hAnsi="OTNEJMScalaSansLF" w:cs="OTNEJMScalaSansLF"/>
          <w:color w:val="000000"/>
          <w:sz w:val="15"/>
          <w:szCs w:val="15"/>
          <w:lang w:val="en-US"/>
        </w:rPr>
        <w:t>Spring, M</w:t>
      </w:r>
      <w:r>
        <w:rPr>
          <w:rFonts w:ascii="OTNEJMScalaSansLF" w:hAnsi="OTNEJMScalaSansLF" w:cs="OTNEJMScalaSansLF"/>
          <w:color w:val="000000"/>
          <w:sz w:val="15"/>
          <w:szCs w:val="15"/>
          <w:lang w:val="en-US"/>
        </w:rPr>
        <w:t xml:space="preserve">D: Food and Drug Administration </w:t>
      </w:r>
      <w:r w:rsidRPr="00A83251">
        <w:rPr>
          <w:rFonts w:ascii="OTNEJMScalaSansLF" w:hAnsi="OTNEJMScalaSansLF" w:cs="OTNEJMScalaSansLF"/>
          <w:color w:val="000000"/>
          <w:sz w:val="15"/>
          <w:szCs w:val="15"/>
          <w:lang w:val="en-US"/>
        </w:rPr>
        <w:t>(http://</w:t>
      </w:r>
      <w:r>
        <w:rPr>
          <w:rFonts w:ascii="OTNEJMScalaSansLF" w:hAnsi="OTNEJMScalaSansLF" w:cs="OTNEJMScalaSansLF"/>
          <w:color w:val="000000"/>
          <w:sz w:val="15"/>
          <w:szCs w:val="15"/>
          <w:lang w:val="en-US"/>
        </w:rPr>
        <w:t>www.fda.gov/downloads/AboutFDA/</w:t>
      </w:r>
      <w:r w:rsidRPr="00A83251">
        <w:rPr>
          <w:rFonts w:ascii="OTNEJMScalaSansLF" w:hAnsi="OTNEJMScalaSansLF" w:cs="OTNEJMScalaSansLF"/>
          <w:color w:val="000000"/>
          <w:sz w:val="15"/>
          <w:szCs w:val="15"/>
          <w:lang w:val="en-US"/>
        </w:rPr>
        <w:t>CentersOff</w:t>
      </w:r>
      <w:r>
        <w:rPr>
          <w:rFonts w:ascii="OTNEJMScalaSansLF" w:hAnsi="OTNEJMScalaSansLF" w:cs="OTNEJMScalaSansLF"/>
          <w:color w:val="000000"/>
          <w:sz w:val="15"/>
          <w:szCs w:val="15"/>
          <w:lang w:val="en-US"/>
        </w:rPr>
        <w:t>ices/OfficeofMedicalProductsand</w:t>
      </w:r>
      <w:r w:rsidRPr="00A83251">
        <w:rPr>
          <w:rFonts w:ascii="OTNEJMScalaSansLF" w:hAnsi="OTNEJMScalaSansLF" w:cs="OTNEJMScalaSansLF"/>
          <w:color w:val="000000"/>
          <w:sz w:val="15"/>
          <w:szCs w:val="15"/>
          <w:lang w:val="en-US"/>
        </w:rPr>
        <w:t>Tob</w:t>
      </w:r>
      <w:r>
        <w:rPr>
          <w:rFonts w:ascii="OTNEJMScalaSansLF" w:hAnsi="OTNEJMScalaSansLF" w:cs="OTNEJMScalaSansLF"/>
          <w:color w:val="000000"/>
          <w:sz w:val="15"/>
          <w:szCs w:val="15"/>
          <w:lang w:val="en-US"/>
        </w:rPr>
        <w:t>acco/CDRH/CDRHVisionandMission/UCM288736.pdf)</w:t>
      </w:r>
    </w:p>
    <w:p w:rsidR="00A83251" w:rsidRPr="00A83251" w:rsidRDefault="00A83251" w:rsidP="001B3820">
      <w:pPr>
        <w:tabs>
          <w:tab w:val="left" w:pos="6109"/>
        </w:tabs>
        <w:autoSpaceDE w:val="0"/>
        <w:autoSpaceDN w:val="0"/>
        <w:adjustRightInd w:val="0"/>
        <w:spacing w:after="0" w:line="240" w:lineRule="auto"/>
        <w:rPr>
          <w:rFonts w:ascii="OTNEJMScalaSansLF" w:hAnsi="OTNEJMScalaSansLF" w:cs="OTNEJMScalaSansLF"/>
          <w:color w:val="000000"/>
          <w:sz w:val="15"/>
          <w:szCs w:val="15"/>
          <w:lang w:val="en-US"/>
        </w:rPr>
      </w:pPr>
      <w:r w:rsidRPr="00A83251">
        <w:rPr>
          <w:rFonts w:ascii="OTNEJMScalaSansLF-Bold" w:hAnsi="OTNEJMScalaSansLF-Bold" w:cs="OTNEJMScalaSansLF-Bold"/>
          <w:b/>
          <w:bCs/>
          <w:color w:val="000000"/>
          <w:sz w:val="15"/>
          <w:szCs w:val="15"/>
          <w:lang w:val="en-US"/>
        </w:rPr>
        <w:t xml:space="preserve">3. </w:t>
      </w:r>
      <w:r w:rsidRPr="00A83251">
        <w:rPr>
          <w:rFonts w:ascii="OTNEJMScalaSansLF" w:hAnsi="OTNEJMScalaSansLF" w:cs="OTNEJMScalaSansLF"/>
          <w:color w:val="000000"/>
          <w:sz w:val="15"/>
          <w:szCs w:val="15"/>
          <w:lang w:val="en-US"/>
        </w:rPr>
        <w:t>Ring PA. R</w:t>
      </w:r>
      <w:r>
        <w:rPr>
          <w:rFonts w:ascii="OTNEJMScalaSansLF" w:hAnsi="OTNEJMScalaSansLF" w:cs="OTNEJMScalaSansLF"/>
          <w:color w:val="000000"/>
          <w:sz w:val="15"/>
          <w:szCs w:val="15"/>
          <w:lang w:val="en-US"/>
        </w:rPr>
        <w:t xml:space="preserve">ing UPM total hip arthroplasty. </w:t>
      </w:r>
      <w:proofErr w:type="spellStart"/>
      <w:r w:rsidRPr="00A83251">
        <w:rPr>
          <w:rFonts w:ascii="OTNEJMScalaSansLF" w:hAnsi="OTNEJMScalaSansLF" w:cs="OTNEJMScalaSansLF"/>
          <w:color w:val="000000"/>
          <w:sz w:val="15"/>
          <w:szCs w:val="15"/>
          <w:lang w:val="en-US"/>
        </w:rPr>
        <w:t>Clin</w:t>
      </w:r>
      <w:proofErr w:type="spellEnd"/>
      <w:r w:rsidRPr="00A83251">
        <w:rPr>
          <w:rFonts w:ascii="OTNEJMScalaSansLF" w:hAnsi="OTNEJMScalaSansLF" w:cs="OTNEJMScalaSansLF"/>
          <w:color w:val="000000"/>
          <w:sz w:val="15"/>
          <w:szCs w:val="15"/>
          <w:lang w:val="en-US"/>
        </w:rPr>
        <w:t xml:space="preserve"> </w:t>
      </w:r>
      <w:proofErr w:type="spellStart"/>
      <w:r w:rsidRPr="00A83251">
        <w:rPr>
          <w:rFonts w:ascii="OTNEJMScalaSansLF" w:hAnsi="OTNEJMScalaSansLF" w:cs="OTNEJMScalaSansLF"/>
          <w:color w:val="000000"/>
          <w:sz w:val="15"/>
          <w:szCs w:val="15"/>
          <w:lang w:val="en-US"/>
        </w:rPr>
        <w:t>Orthop</w:t>
      </w:r>
      <w:proofErr w:type="spellEnd"/>
      <w:r w:rsidRPr="00A83251">
        <w:rPr>
          <w:rFonts w:ascii="OTNEJMScalaSansLF" w:hAnsi="OTNEJMScalaSansLF" w:cs="OTNEJMScalaSansLF"/>
          <w:color w:val="000000"/>
          <w:sz w:val="15"/>
          <w:szCs w:val="15"/>
          <w:lang w:val="en-US"/>
        </w:rPr>
        <w:t xml:space="preserve"> </w:t>
      </w:r>
      <w:proofErr w:type="spellStart"/>
      <w:r w:rsidRPr="00A83251">
        <w:rPr>
          <w:rFonts w:ascii="OTNEJMScalaSansLF" w:hAnsi="OTNEJMScalaSansLF" w:cs="OTNEJMScalaSansLF"/>
          <w:color w:val="000000"/>
          <w:sz w:val="15"/>
          <w:szCs w:val="15"/>
          <w:lang w:val="en-US"/>
        </w:rPr>
        <w:t>Relat</w:t>
      </w:r>
      <w:proofErr w:type="spellEnd"/>
      <w:r w:rsidRPr="00A83251">
        <w:rPr>
          <w:rFonts w:ascii="OTNEJMScalaSansLF" w:hAnsi="OTNEJMScalaSansLF" w:cs="OTNEJMScalaSansLF"/>
          <w:color w:val="000000"/>
          <w:sz w:val="15"/>
          <w:szCs w:val="15"/>
          <w:lang w:val="en-US"/>
        </w:rPr>
        <w:t xml:space="preserve"> Res 1983;176:115-23.</w:t>
      </w:r>
      <w:r w:rsidR="001B3820">
        <w:rPr>
          <w:rFonts w:ascii="OTNEJMScalaSansLF" w:hAnsi="OTNEJMScalaSansLF" w:cs="OTNEJMScalaSansLF"/>
          <w:color w:val="000000"/>
          <w:sz w:val="15"/>
          <w:szCs w:val="15"/>
          <w:lang w:val="en-US"/>
        </w:rPr>
        <w:tab/>
      </w:r>
    </w:p>
    <w:p w:rsidR="00A83251" w:rsidRPr="00A83251" w:rsidRDefault="00A83251" w:rsidP="00A83251">
      <w:pPr>
        <w:autoSpaceDE w:val="0"/>
        <w:autoSpaceDN w:val="0"/>
        <w:adjustRightInd w:val="0"/>
        <w:spacing w:after="0" w:line="240" w:lineRule="auto"/>
        <w:rPr>
          <w:rFonts w:ascii="OTNEJMScalaSansLF" w:hAnsi="OTNEJMScalaSansLF" w:cs="OTNEJMScalaSansLF"/>
          <w:color w:val="000000"/>
          <w:sz w:val="15"/>
          <w:szCs w:val="15"/>
          <w:lang w:val="en-US"/>
        </w:rPr>
      </w:pPr>
      <w:r w:rsidRPr="00A83251">
        <w:rPr>
          <w:rFonts w:ascii="OTNEJMScalaSansLF-Bold" w:hAnsi="OTNEJMScalaSansLF-Bold" w:cs="OTNEJMScalaSansLF-Bold"/>
          <w:b/>
          <w:bCs/>
          <w:color w:val="000000"/>
          <w:sz w:val="15"/>
          <w:szCs w:val="15"/>
          <w:lang w:val="en-US"/>
        </w:rPr>
        <w:t xml:space="preserve">4. </w:t>
      </w:r>
      <w:proofErr w:type="spellStart"/>
      <w:r w:rsidRPr="00A83251">
        <w:rPr>
          <w:rFonts w:ascii="OTNEJMScalaSansLF" w:hAnsi="OTNEJMScalaSansLF" w:cs="OTNEJMScalaSansLF"/>
          <w:color w:val="000000"/>
          <w:sz w:val="15"/>
          <w:szCs w:val="15"/>
          <w:lang w:val="en-US"/>
        </w:rPr>
        <w:t>Cabitza</w:t>
      </w:r>
      <w:proofErr w:type="spellEnd"/>
      <w:r w:rsidRPr="00A83251">
        <w:rPr>
          <w:rFonts w:ascii="OTNEJMScalaSansLF" w:hAnsi="OTNEJMScalaSansLF" w:cs="OTNEJMScalaSansLF"/>
          <w:color w:val="000000"/>
          <w:sz w:val="15"/>
          <w:szCs w:val="15"/>
          <w:lang w:val="en-US"/>
        </w:rPr>
        <w:t xml:space="preserve"> P,</w:t>
      </w:r>
      <w:r>
        <w:rPr>
          <w:rFonts w:ascii="OTNEJMScalaSansLF" w:hAnsi="OTNEJMScalaSansLF" w:cs="OTNEJMScalaSansLF"/>
          <w:color w:val="000000"/>
          <w:sz w:val="15"/>
          <w:szCs w:val="15"/>
          <w:lang w:val="en-US"/>
        </w:rPr>
        <w:t xml:space="preserve"> </w:t>
      </w:r>
      <w:proofErr w:type="spellStart"/>
      <w:r>
        <w:rPr>
          <w:rFonts w:ascii="OTNEJMScalaSansLF" w:hAnsi="OTNEJMScalaSansLF" w:cs="OTNEJMScalaSansLF"/>
          <w:color w:val="000000"/>
          <w:sz w:val="15"/>
          <w:szCs w:val="15"/>
          <w:lang w:val="en-US"/>
        </w:rPr>
        <w:t>Percudani</w:t>
      </w:r>
      <w:proofErr w:type="spellEnd"/>
      <w:r>
        <w:rPr>
          <w:rFonts w:ascii="OTNEJMScalaSansLF" w:hAnsi="OTNEJMScalaSansLF" w:cs="OTNEJMScalaSansLF"/>
          <w:color w:val="000000"/>
          <w:sz w:val="15"/>
          <w:szCs w:val="15"/>
          <w:lang w:val="en-US"/>
        </w:rPr>
        <w:t xml:space="preserve"> W. Long-term results </w:t>
      </w:r>
      <w:r w:rsidRPr="00A83251">
        <w:rPr>
          <w:rFonts w:ascii="OTNEJMScalaSansLF" w:hAnsi="OTNEJMScalaSansLF" w:cs="OTNEJMScalaSansLF"/>
          <w:color w:val="000000"/>
          <w:sz w:val="15"/>
          <w:szCs w:val="15"/>
          <w:lang w:val="en-US"/>
        </w:rPr>
        <w:t>of 2 continuous</w:t>
      </w:r>
      <w:r>
        <w:rPr>
          <w:rFonts w:ascii="OTNEJMScalaSansLF" w:hAnsi="OTNEJMScalaSansLF" w:cs="OTNEJMScalaSansLF"/>
          <w:color w:val="000000"/>
          <w:sz w:val="15"/>
          <w:szCs w:val="15"/>
          <w:lang w:val="en-US"/>
        </w:rPr>
        <w:t xml:space="preserve"> series of total hip prostheses </w:t>
      </w:r>
      <w:r w:rsidRPr="00A83251">
        <w:rPr>
          <w:rFonts w:ascii="OTNEJMScalaSansLF" w:hAnsi="OTNEJMScalaSansLF" w:cs="OTNEJMScalaSansLF"/>
          <w:color w:val="000000"/>
          <w:sz w:val="15"/>
          <w:szCs w:val="15"/>
          <w:lang w:val="en-US"/>
        </w:rPr>
        <w:t>of the McKee–</w:t>
      </w:r>
      <w:r>
        <w:rPr>
          <w:rFonts w:ascii="OTNEJMScalaSansLF" w:hAnsi="OTNEJMScalaSansLF" w:cs="OTNEJMScalaSansLF"/>
          <w:color w:val="000000"/>
          <w:sz w:val="15"/>
          <w:szCs w:val="15"/>
          <w:lang w:val="en-US"/>
        </w:rPr>
        <w:t xml:space="preserve">Farrar </w:t>
      </w:r>
      <w:proofErr w:type="spellStart"/>
      <w:r>
        <w:rPr>
          <w:rFonts w:ascii="OTNEJMScalaSansLF" w:hAnsi="OTNEJMScalaSansLF" w:cs="OTNEJMScalaSansLF"/>
          <w:color w:val="000000"/>
          <w:sz w:val="15"/>
          <w:szCs w:val="15"/>
          <w:lang w:val="en-US"/>
        </w:rPr>
        <w:t>metallo</w:t>
      </w:r>
      <w:proofErr w:type="spellEnd"/>
      <w:r>
        <w:rPr>
          <w:rFonts w:ascii="OTNEJMScalaSansLF" w:hAnsi="OTNEJMScalaSansLF" w:cs="OTNEJMScalaSansLF"/>
          <w:color w:val="000000"/>
          <w:sz w:val="15"/>
          <w:szCs w:val="15"/>
          <w:lang w:val="en-US"/>
        </w:rPr>
        <w:t xml:space="preserve">-metal type and </w:t>
      </w:r>
      <w:r w:rsidRPr="00A83251">
        <w:rPr>
          <w:rFonts w:ascii="OTNEJMScalaSansLF" w:hAnsi="OTNEJMScalaSansLF" w:cs="OTNEJMScalaSansLF"/>
          <w:color w:val="000000"/>
          <w:sz w:val="15"/>
          <w:szCs w:val="15"/>
          <w:lang w:val="en-US"/>
        </w:rPr>
        <w:t xml:space="preserve">the </w:t>
      </w:r>
      <w:proofErr w:type="spellStart"/>
      <w:r w:rsidRPr="00A83251">
        <w:rPr>
          <w:rFonts w:ascii="OTNEJMScalaSansLF" w:hAnsi="OTNEJMScalaSansLF" w:cs="OTNEJMScalaSansLF"/>
          <w:color w:val="000000"/>
          <w:sz w:val="15"/>
          <w:szCs w:val="15"/>
          <w:lang w:val="en-US"/>
        </w:rPr>
        <w:t>Charnley</w:t>
      </w:r>
      <w:proofErr w:type="spellEnd"/>
      <w:r>
        <w:rPr>
          <w:rFonts w:ascii="OTNEJMScalaSansLF" w:hAnsi="OTNEJMScalaSansLF" w:cs="OTNEJMScalaSansLF"/>
          <w:color w:val="000000"/>
          <w:sz w:val="15"/>
          <w:szCs w:val="15"/>
          <w:lang w:val="en-US"/>
        </w:rPr>
        <w:t xml:space="preserve"> </w:t>
      </w:r>
      <w:proofErr w:type="spellStart"/>
      <w:r>
        <w:rPr>
          <w:rFonts w:ascii="OTNEJMScalaSansLF" w:hAnsi="OTNEJMScalaSansLF" w:cs="OTNEJMScalaSansLF"/>
          <w:color w:val="000000"/>
          <w:sz w:val="15"/>
          <w:szCs w:val="15"/>
          <w:lang w:val="en-US"/>
        </w:rPr>
        <w:t>metallo</w:t>
      </w:r>
      <w:proofErr w:type="spellEnd"/>
      <w:r>
        <w:rPr>
          <w:rFonts w:ascii="OTNEJMScalaSansLF" w:hAnsi="OTNEJMScalaSansLF" w:cs="OTNEJMScalaSansLF"/>
          <w:color w:val="000000"/>
          <w:sz w:val="15"/>
          <w:szCs w:val="15"/>
          <w:lang w:val="en-US"/>
        </w:rPr>
        <w:t xml:space="preserve">-plastic type. Arch </w:t>
      </w:r>
      <w:proofErr w:type="spellStart"/>
      <w:r>
        <w:rPr>
          <w:rFonts w:ascii="OTNEJMScalaSansLF" w:hAnsi="OTNEJMScalaSansLF" w:cs="OTNEJMScalaSansLF"/>
          <w:color w:val="000000"/>
          <w:sz w:val="15"/>
          <w:szCs w:val="15"/>
          <w:lang w:val="en-US"/>
        </w:rPr>
        <w:t>Sci</w:t>
      </w:r>
      <w:proofErr w:type="spellEnd"/>
      <w:r>
        <w:rPr>
          <w:rFonts w:ascii="OTNEJMScalaSansLF" w:hAnsi="OTNEJMScalaSansLF" w:cs="OTNEJMScalaSansLF"/>
          <w:color w:val="000000"/>
          <w:sz w:val="15"/>
          <w:szCs w:val="15"/>
          <w:lang w:val="en-US"/>
        </w:rPr>
        <w:t xml:space="preserve"> </w:t>
      </w:r>
      <w:r w:rsidRPr="00A83251">
        <w:rPr>
          <w:rFonts w:ascii="OTNEJMScalaSansLF" w:hAnsi="OTNEJMScalaSansLF" w:cs="OTNEJMScalaSansLF"/>
          <w:color w:val="000000"/>
          <w:sz w:val="15"/>
          <w:szCs w:val="15"/>
          <w:lang w:val="en-US"/>
        </w:rPr>
        <w:t>Med (Torino) 1979;136:45-50. (In Italian.)</w:t>
      </w:r>
    </w:p>
    <w:p w:rsidR="00A83251" w:rsidRPr="00A83251" w:rsidRDefault="00A83251" w:rsidP="00A83251">
      <w:pPr>
        <w:autoSpaceDE w:val="0"/>
        <w:autoSpaceDN w:val="0"/>
        <w:adjustRightInd w:val="0"/>
        <w:spacing w:after="0" w:line="240" w:lineRule="auto"/>
        <w:rPr>
          <w:rFonts w:ascii="OTNEJMScalaSansLF" w:hAnsi="OTNEJMScalaSansLF" w:cs="OTNEJMScalaSansLF"/>
          <w:color w:val="000000"/>
          <w:sz w:val="15"/>
          <w:szCs w:val="15"/>
          <w:lang w:val="en-US"/>
        </w:rPr>
      </w:pPr>
      <w:r w:rsidRPr="00A83251">
        <w:rPr>
          <w:rFonts w:ascii="OTNEJMScalaSansLF-Bold" w:hAnsi="OTNEJMScalaSansLF-Bold" w:cs="OTNEJMScalaSansLF-Bold"/>
          <w:b/>
          <w:bCs/>
          <w:color w:val="000000"/>
          <w:sz w:val="15"/>
          <w:szCs w:val="15"/>
          <w:lang w:val="en-US"/>
        </w:rPr>
        <w:t xml:space="preserve">5. </w:t>
      </w:r>
      <w:r w:rsidRPr="00A83251">
        <w:rPr>
          <w:rFonts w:ascii="OTNEJMScalaSansLF" w:hAnsi="OTNEJMScalaSansLF" w:cs="OTNEJMScalaSansLF"/>
          <w:color w:val="000000"/>
          <w:sz w:val="15"/>
          <w:szCs w:val="15"/>
          <w:lang w:val="en-US"/>
        </w:rPr>
        <w:t xml:space="preserve">Australian </w:t>
      </w:r>
      <w:proofErr w:type="spellStart"/>
      <w:r w:rsidRPr="00A83251">
        <w:rPr>
          <w:rFonts w:ascii="OTNEJMScalaSansLF" w:hAnsi="OTNEJMScalaSansLF" w:cs="OTNEJMScalaSansLF"/>
          <w:color w:val="000000"/>
          <w:sz w:val="15"/>
          <w:szCs w:val="15"/>
          <w:lang w:val="en-US"/>
        </w:rPr>
        <w:t>Orthopaedic</w:t>
      </w:r>
      <w:proofErr w:type="spellEnd"/>
      <w:r w:rsidRPr="00A83251">
        <w:rPr>
          <w:rFonts w:ascii="OTNEJMScalaSansLF" w:hAnsi="OTNEJMScalaSansLF" w:cs="OTNEJMScalaSansLF"/>
          <w:color w:val="000000"/>
          <w:sz w:val="15"/>
          <w:szCs w:val="15"/>
          <w:lang w:val="en-US"/>
        </w:rPr>
        <w:t xml:space="preserve"> Association</w:t>
      </w:r>
      <w:r>
        <w:rPr>
          <w:rFonts w:ascii="OTNEJMScalaSansLF" w:hAnsi="OTNEJMScalaSansLF" w:cs="OTNEJMScalaSansLF"/>
          <w:color w:val="000000"/>
          <w:sz w:val="15"/>
          <w:szCs w:val="15"/>
          <w:lang w:val="en-US"/>
        </w:rPr>
        <w:t xml:space="preserve"> National </w:t>
      </w:r>
      <w:r w:rsidRPr="00A83251">
        <w:rPr>
          <w:rFonts w:ascii="OTNEJMScalaSansLF" w:hAnsi="OTNEJMScalaSansLF" w:cs="OTNEJMScalaSansLF"/>
          <w:color w:val="000000"/>
          <w:sz w:val="15"/>
          <w:szCs w:val="15"/>
          <w:lang w:val="en-US"/>
        </w:rPr>
        <w:t>Joint Repl</w:t>
      </w:r>
      <w:r>
        <w:rPr>
          <w:rFonts w:ascii="OTNEJMScalaSansLF" w:hAnsi="OTNEJMScalaSansLF" w:cs="OTNEJMScalaSansLF"/>
          <w:color w:val="000000"/>
          <w:sz w:val="15"/>
          <w:szCs w:val="15"/>
          <w:lang w:val="en-US"/>
        </w:rPr>
        <w:t xml:space="preserve">acement Registry. Supplementary </w:t>
      </w:r>
      <w:r w:rsidRPr="00A83251">
        <w:rPr>
          <w:rFonts w:ascii="OTNEJMScalaSansLF" w:hAnsi="OTNEJMScalaSansLF" w:cs="OTNEJMScalaSansLF"/>
          <w:color w:val="000000"/>
          <w:sz w:val="15"/>
          <w:szCs w:val="15"/>
          <w:lang w:val="en-US"/>
        </w:rPr>
        <w:t>repor</w:t>
      </w:r>
      <w:r>
        <w:rPr>
          <w:rFonts w:ascii="OTNEJMScalaSansLF" w:hAnsi="OTNEJMScalaSansLF" w:cs="OTNEJMScalaSansLF"/>
          <w:color w:val="000000"/>
          <w:sz w:val="15"/>
          <w:szCs w:val="15"/>
          <w:lang w:val="en-US"/>
        </w:rPr>
        <w:t xml:space="preserve">t: investigations of prostheses </w:t>
      </w:r>
      <w:r w:rsidRPr="00A83251">
        <w:rPr>
          <w:rFonts w:ascii="OTNEJMScalaSansLF" w:hAnsi="OTNEJMScalaSansLF" w:cs="OTNEJMScalaSansLF"/>
          <w:color w:val="000000"/>
          <w:sz w:val="15"/>
          <w:szCs w:val="15"/>
          <w:lang w:val="en-US"/>
        </w:rPr>
        <w:t>with higher than</w:t>
      </w:r>
      <w:r>
        <w:rPr>
          <w:rFonts w:ascii="OTNEJMScalaSansLF" w:hAnsi="OTNEJMScalaSansLF" w:cs="OTNEJMScalaSansLF"/>
          <w:color w:val="000000"/>
          <w:sz w:val="15"/>
          <w:szCs w:val="15"/>
          <w:lang w:val="en-US"/>
        </w:rPr>
        <w:t xml:space="preserve"> anticipated rates of revision. </w:t>
      </w:r>
      <w:r w:rsidRPr="00A83251">
        <w:rPr>
          <w:rFonts w:ascii="OTNEJMScalaSansLF" w:hAnsi="OTNEJMScalaSansLF" w:cs="OTNEJMScalaSansLF"/>
          <w:color w:val="000000"/>
          <w:sz w:val="15"/>
          <w:szCs w:val="15"/>
          <w:lang w:val="en-US"/>
        </w:rPr>
        <w:t>Adelaide: Aust</w:t>
      </w:r>
      <w:r>
        <w:rPr>
          <w:rFonts w:ascii="OTNEJMScalaSansLF" w:hAnsi="OTNEJMScalaSansLF" w:cs="OTNEJMScalaSansLF"/>
          <w:color w:val="000000"/>
          <w:sz w:val="15"/>
          <w:szCs w:val="15"/>
          <w:lang w:val="en-US"/>
        </w:rPr>
        <w:t xml:space="preserve">ralian </w:t>
      </w:r>
      <w:proofErr w:type="spellStart"/>
      <w:r>
        <w:rPr>
          <w:rFonts w:ascii="OTNEJMScalaSansLF" w:hAnsi="OTNEJMScalaSansLF" w:cs="OTNEJMScalaSansLF"/>
          <w:color w:val="000000"/>
          <w:sz w:val="15"/>
          <w:szCs w:val="15"/>
          <w:lang w:val="en-US"/>
        </w:rPr>
        <w:t>Orthopaedic</w:t>
      </w:r>
      <w:proofErr w:type="spellEnd"/>
      <w:r>
        <w:rPr>
          <w:rFonts w:ascii="OTNEJMScalaSansLF" w:hAnsi="OTNEJMScalaSansLF" w:cs="OTNEJMScalaSansLF"/>
          <w:color w:val="000000"/>
          <w:sz w:val="15"/>
          <w:szCs w:val="15"/>
          <w:lang w:val="en-US"/>
        </w:rPr>
        <w:t xml:space="preserve"> Association, 2012</w:t>
      </w:r>
      <w:r w:rsidRPr="00A83251">
        <w:rPr>
          <w:rFonts w:ascii="OTNEJMScalaSansLF" w:hAnsi="OTNEJMScalaSansLF" w:cs="OTNEJMScalaSansLF"/>
          <w:color w:val="000000"/>
          <w:sz w:val="15"/>
          <w:szCs w:val="15"/>
          <w:lang w:val="en-US"/>
        </w:rPr>
        <w:t>(h</w:t>
      </w:r>
      <w:r>
        <w:rPr>
          <w:rFonts w:ascii="OTNEJMScalaSansLF" w:hAnsi="OTNEJMScalaSansLF" w:cs="OTNEJMScalaSansLF"/>
          <w:color w:val="000000"/>
          <w:sz w:val="15"/>
          <w:szCs w:val="15"/>
          <w:lang w:val="en-US"/>
        </w:rPr>
        <w:t>ttp://www.dmac.adelaide.edu.au/</w:t>
      </w:r>
      <w:r w:rsidRPr="00A83251">
        <w:rPr>
          <w:rFonts w:ascii="OTNEJMScalaSansLF" w:hAnsi="OTNEJMScalaSansLF" w:cs="OTNEJMScalaSansLF"/>
          <w:color w:val="000000"/>
          <w:sz w:val="15"/>
          <w:szCs w:val="15"/>
          <w:lang w:val="en-US"/>
        </w:rPr>
        <w:t>aoanjrr/documents/Identified_Prost</w:t>
      </w:r>
      <w:r>
        <w:rPr>
          <w:rFonts w:ascii="OTNEJMScalaSansLF" w:hAnsi="OTNEJMScalaSansLF" w:cs="OTNEJMScalaSansLF"/>
          <w:color w:val="000000"/>
          <w:sz w:val="15"/>
          <w:szCs w:val="15"/>
          <w:lang w:val="en-US"/>
        </w:rPr>
        <w:t>heses/</w:t>
      </w:r>
      <w:r w:rsidRPr="00A83251">
        <w:rPr>
          <w:rFonts w:ascii="OTNEJMScalaSansLF" w:hAnsi="OTNEJMScalaSansLF" w:cs="OTNEJMScalaSansLF"/>
          <w:color w:val="000000"/>
          <w:sz w:val="15"/>
          <w:szCs w:val="15"/>
          <w:lang w:val="en-US"/>
        </w:rPr>
        <w:t>Hi</w:t>
      </w:r>
      <w:r>
        <w:rPr>
          <w:rFonts w:ascii="OTNEJMScalaSansLF" w:hAnsi="OTNEJMScalaSansLF" w:cs="OTNEJMScalaSansLF"/>
          <w:color w:val="000000"/>
          <w:sz w:val="15"/>
          <w:szCs w:val="15"/>
          <w:lang w:val="en-US"/>
        </w:rPr>
        <w:t>ps/Total%20Conventional%20Hips/</w:t>
      </w:r>
      <w:r w:rsidRPr="00A83251">
        <w:rPr>
          <w:rFonts w:ascii="OTNEJMScalaSansLF" w:hAnsi="OTNEJMScalaSansLF" w:cs="OTNEJMScalaSansLF"/>
          <w:color w:val="000000"/>
          <w:sz w:val="15"/>
          <w:szCs w:val="15"/>
          <w:lang w:val="en-US"/>
        </w:rPr>
        <w:t>3@~</w:t>
      </w:r>
      <w:r>
        <w:rPr>
          <w:rFonts w:ascii="OTNEJMScalaSansLF" w:hAnsi="OTNEJMScalaSansLF" w:cs="OTNEJMScalaSansLF"/>
          <w:color w:val="000000"/>
          <w:sz w:val="15"/>
          <w:szCs w:val="15"/>
          <w:lang w:val="en-US"/>
        </w:rPr>
        <w:t>Identified%20and%20no%20longer%</w:t>
      </w:r>
      <w:r w:rsidRPr="00A83251">
        <w:rPr>
          <w:rFonts w:ascii="OTNEJMScalaSansLF" w:hAnsi="OTNEJMScalaSansLF" w:cs="OTNEJMScalaSansLF"/>
          <w:color w:val="000000"/>
          <w:sz w:val="15"/>
          <w:szCs w:val="15"/>
          <w:lang w:val="en-US"/>
        </w:rPr>
        <w:t>20used/ASR_AcetabularProsthesis.pdf).</w:t>
      </w:r>
    </w:p>
    <w:p w:rsidR="00A83251" w:rsidRPr="00010C83" w:rsidRDefault="00A83251" w:rsidP="00A83251">
      <w:pPr>
        <w:autoSpaceDE w:val="0"/>
        <w:autoSpaceDN w:val="0"/>
        <w:adjustRightInd w:val="0"/>
        <w:spacing w:after="0" w:line="240" w:lineRule="auto"/>
        <w:rPr>
          <w:rFonts w:ascii="OTNEJMScalaSansLF-Bold" w:hAnsi="OTNEJMScalaSansLF-Bold" w:cs="OTNEJMScalaSansLF-Bold"/>
          <w:b/>
          <w:bCs/>
          <w:color w:val="77797B"/>
          <w:sz w:val="14"/>
          <w:szCs w:val="14"/>
          <w:lang w:val="en-US"/>
        </w:rPr>
      </w:pPr>
      <w:r w:rsidRPr="00010C83">
        <w:rPr>
          <w:rFonts w:ascii="OTNEJMScalaSansLF-Bold" w:hAnsi="OTNEJMScalaSansLF-Bold" w:cs="OTNEJMScalaSansLF-Bold"/>
          <w:b/>
          <w:bCs/>
          <w:color w:val="77797B"/>
          <w:sz w:val="14"/>
          <w:szCs w:val="14"/>
          <w:lang w:val="en-US"/>
        </w:rPr>
        <w:t>DOI: 10.1056/NEJMp1211581</w:t>
      </w:r>
    </w:p>
    <w:p w:rsidR="00A83251" w:rsidRPr="006A6766" w:rsidRDefault="00A83251" w:rsidP="00A83251">
      <w:pPr>
        <w:autoSpaceDE w:val="0"/>
        <w:autoSpaceDN w:val="0"/>
        <w:adjustRightInd w:val="0"/>
        <w:spacing w:after="0" w:line="240" w:lineRule="auto"/>
        <w:contextualSpacing/>
        <w:mirrorIndents/>
        <w:rPr>
          <w:rFonts w:asciiTheme="majorHAnsi" w:eastAsia="OTNEJMQuadraat" w:hAnsiTheme="majorHAnsi" w:cs="OTNEJMQuadraat"/>
          <w:color w:val="000000"/>
          <w:sz w:val="24"/>
          <w:szCs w:val="24"/>
          <w:lang w:val="en-US"/>
        </w:rPr>
      </w:pPr>
      <w:r w:rsidRPr="00010C83">
        <w:rPr>
          <w:rFonts w:ascii="OTNEJMScalaSansLF-Italic" w:hAnsi="OTNEJMScalaSansLF-Italic" w:cs="OTNEJMScalaSansLF-Italic"/>
          <w:i/>
          <w:iCs/>
          <w:color w:val="000000"/>
          <w:sz w:val="12"/>
          <w:szCs w:val="12"/>
          <w:lang w:val="en-US"/>
        </w:rPr>
        <w:t>Copyright © 2013 Massachusetts Medical Society.</w:t>
      </w:r>
    </w:p>
    <w:p w:rsidR="00F27C98" w:rsidRDefault="00F27C98" w:rsidP="001C352F">
      <w:pPr>
        <w:rPr>
          <w:color w:val="548DD4" w:themeColor="text2" w:themeTint="99"/>
          <w:lang w:val="en-US"/>
        </w:rPr>
      </w:pPr>
    </w:p>
    <w:p w:rsidR="00010C83" w:rsidRPr="000158FE" w:rsidRDefault="00010C83" w:rsidP="001C352F">
      <w:pPr>
        <w:rPr>
          <w:color w:val="FF0000"/>
          <w:lang w:val="en-US"/>
        </w:rPr>
      </w:pPr>
      <w:r w:rsidRPr="000158FE">
        <w:rPr>
          <w:color w:val="FF0000"/>
          <w:lang w:val="en-US"/>
        </w:rPr>
        <w:t>Nota 1:</w:t>
      </w:r>
    </w:p>
    <w:p w:rsidR="00010C83" w:rsidRPr="00010C83" w:rsidRDefault="00010C83" w:rsidP="00010C83">
      <w:pPr>
        <w:rPr>
          <w:color w:val="548DD4" w:themeColor="text2" w:themeTint="99"/>
          <w:lang w:val="en-US"/>
        </w:rPr>
      </w:pPr>
      <w:r w:rsidRPr="00010C83">
        <w:rPr>
          <w:color w:val="548DD4" w:themeColor="text2" w:themeTint="99"/>
          <w:lang w:val="en-US"/>
        </w:rPr>
        <w:t>IOM Report on FDA’s 510(k) Medical Device Clearance Process to be Released July 29</w:t>
      </w:r>
    </w:p>
    <w:p w:rsidR="00010C83" w:rsidRPr="00010C83" w:rsidRDefault="00010C83" w:rsidP="00010C83">
      <w:pPr>
        <w:rPr>
          <w:color w:val="548DD4" w:themeColor="text2" w:themeTint="99"/>
          <w:lang w:val="en-US"/>
        </w:rPr>
      </w:pPr>
    </w:p>
    <w:p w:rsidR="00010C83" w:rsidRPr="00010C83" w:rsidRDefault="00010C83" w:rsidP="00010C83">
      <w:pPr>
        <w:rPr>
          <w:color w:val="548DD4" w:themeColor="text2" w:themeTint="99"/>
          <w:lang w:val="en-US"/>
        </w:rPr>
      </w:pPr>
      <w:r w:rsidRPr="00010C83">
        <w:rPr>
          <w:color w:val="548DD4" w:themeColor="text2" w:themeTint="99"/>
          <w:lang w:val="en-US"/>
        </w:rPr>
        <w:t>Released: 7/22/2011</w:t>
      </w:r>
    </w:p>
    <w:p w:rsidR="00010C83" w:rsidRPr="00010C83" w:rsidRDefault="00010C83" w:rsidP="00010C83">
      <w:pPr>
        <w:rPr>
          <w:color w:val="548DD4" w:themeColor="text2" w:themeTint="99"/>
          <w:lang w:val="en-US"/>
        </w:rPr>
      </w:pPr>
    </w:p>
    <w:p w:rsidR="00010C83" w:rsidRDefault="001B3820" w:rsidP="00010C83">
      <w:pPr>
        <w:rPr>
          <w:color w:val="548DD4" w:themeColor="text2" w:themeTint="99"/>
          <w:lang w:val="en-US"/>
        </w:rPr>
      </w:pPr>
      <w:r>
        <w:rPr>
          <w:color w:val="548DD4" w:themeColor="text2" w:themeTint="99"/>
          <w:lang w:val="en-US"/>
        </w:rPr>
        <w:t>“</w:t>
      </w:r>
      <w:r w:rsidR="00010C83" w:rsidRPr="00010C83">
        <w:rPr>
          <w:color w:val="548DD4" w:themeColor="text2" w:themeTint="99"/>
          <w:lang w:val="en-US"/>
        </w:rPr>
        <w:t>Most medical devices that are reviewed by the U.S. Food and Drug Administration before entering the marketplace are cleared for use in a process called premarket notification, or the 510(k) clearance process, named after a section of the 1976 law that authorized the process.  Prompted by concerns that have been raised about whether the 510(k) clearance process is adequately protecting and promoting the public’s health, the FDA asked the IOM to convene a committee to evaluate the process and make recommendations aimed at protecting public health while preserving a mechanism to get new medical devices to market in a timely manner. The committee’s report, Medical Devices and the Public’s Health: The FDA’s 510(k) Clearance Process at 35 Years, will be available for immediate release at 9 a.m. EDT on Friday, July 29. The committee will discuss its findings and recommendations during a public briefing starting at 11 a.m. EDT on July 29 in Room 100 of the National Academies’ Keck Center, 500 Fifth St., N.W., Washington, D.C.  A live video webcast of the briefing will be availa</w:t>
      </w:r>
      <w:r w:rsidR="00010C83">
        <w:rPr>
          <w:color w:val="548DD4" w:themeColor="text2" w:themeTint="99"/>
          <w:lang w:val="en-US"/>
        </w:rPr>
        <w:t xml:space="preserve">ble at </w:t>
      </w:r>
      <w:hyperlink r:id="rId4" w:history="1">
        <w:r w:rsidR="00010C83" w:rsidRPr="007350FB">
          <w:rPr>
            <w:rStyle w:val="Collegamentoipertestuale"/>
            <w:lang w:val="en-US"/>
          </w:rPr>
          <w:t>www.iom.edu/510kprocess</w:t>
        </w:r>
      </w:hyperlink>
      <w:r w:rsidR="00010C83">
        <w:rPr>
          <w:color w:val="548DD4" w:themeColor="text2" w:themeTint="99"/>
          <w:lang w:val="en-US"/>
        </w:rPr>
        <w:t>.</w:t>
      </w:r>
      <w:r>
        <w:rPr>
          <w:color w:val="548DD4" w:themeColor="text2" w:themeTint="99"/>
          <w:lang w:val="en-US"/>
        </w:rPr>
        <w:t>”</w:t>
      </w:r>
    </w:p>
    <w:p w:rsidR="001B3820" w:rsidRPr="001B3820" w:rsidRDefault="001B3820" w:rsidP="001B3820">
      <w:pPr>
        <w:rPr>
          <w:color w:val="548DD4" w:themeColor="text2" w:themeTint="99"/>
        </w:rPr>
      </w:pPr>
      <w:r w:rsidRPr="001B3820">
        <w:rPr>
          <w:color w:val="548DD4" w:themeColor="text2" w:themeTint="99"/>
        </w:rPr>
        <w:t>Cliccando sul link si legge:</w:t>
      </w:r>
      <w:r w:rsidRPr="001B3820">
        <w:t xml:space="preserve"> </w:t>
      </w:r>
    </w:p>
    <w:p w:rsidR="001B3820" w:rsidRPr="001B3820" w:rsidRDefault="001B3820" w:rsidP="001B3820">
      <w:pPr>
        <w:rPr>
          <w:color w:val="548DD4" w:themeColor="text2" w:themeTint="99"/>
          <w:lang w:val="en-US"/>
        </w:rPr>
      </w:pPr>
      <w:r w:rsidRPr="001B3820">
        <w:rPr>
          <w:color w:val="548DD4" w:themeColor="text2" w:themeTint="99"/>
          <w:lang w:val="en-US"/>
        </w:rPr>
        <w:t>“Medical Devices and the Public’s Health: The FDA 510(k) Clearance Process at 35 Years</w:t>
      </w:r>
    </w:p>
    <w:p w:rsidR="001B3820" w:rsidRPr="001B3820" w:rsidRDefault="001B3820" w:rsidP="001B3820">
      <w:pPr>
        <w:rPr>
          <w:color w:val="548DD4" w:themeColor="text2" w:themeTint="99"/>
          <w:lang w:val="en-US"/>
        </w:rPr>
      </w:pPr>
    </w:p>
    <w:p w:rsidR="001B3820" w:rsidRPr="001B3820" w:rsidRDefault="001B3820" w:rsidP="001B3820">
      <w:pPr>
        <w:rPr>
          <w:color w:val="548DD4" w:themeColor="text2" w:themeTint="99"/>
          <w:lang w:val="en-US"/>
        </w:rPr>
      </w:pPr>
      <w:r>
        <w:rPr>
          <w:color w:val="548DD4" w:themeColor="text2" w:themeTint="99"/>
          <w:lang w:val="en-US"/>
        </w:rPr>
        <w:t xml:space="preserve">Released: </w:t>
      </w:r>
      <w:r w:rsidRPr="001B3820">
        <w:rPr>
          <w:color w:val="548DD4" w:themeColor="text2" w:themeTint="99"/>
          <w:lang w:val="en-US"/>
        </w:rPr>
        <w:t>July 29, 2011</w:t>
      </w:r>
    </w:p>
    <w:p w:rsidR="001B3820" w:rsidRPr="001B3820" w:rsidRDefault="001B3820" w:rsidP="001B3820">
      <w:pPr>
        <w:rPr>
          <w:color w:val="548DD4" w:themeColor="text2" w:themeTint="99"/>
          <w:lang w:val="en-US"/>
        </w:rPr>
      </w:pPr>
      <w:r>
        <w:rPr>
          <w:color w:val="548DD4" w:themeColor="text2" w:themeTint="99"/>
          <w:lang w:val="en-US"/>
        </w:rPr>
        <w:t xml:space="preserve">Type: </w:t>
      </w:r>
      <w:r w:rsidRPr="001B3820">
        <w:rPr>
          <w:color w:val="548DD4" w:themeColor="text2" w:themeTint="99"/>
          <w:lang w:val="en-US"/>
        </w:rPr>
        <w:t>Consensus Report</w:t>
      </w:r>
    </w:p>
    <w:p w:rsidR="001B3820" w:rsidRPr="001B3820" w:rsidRDefault="001B3820" w:rsidP="001B3820">
      <w:pPr>
        <w:rPr>
          <w:color w:val="548DD4" w:themeColor="text2" w:themeTint="99"/>
          <w:lang w:val="en-US"/>
        </w:rPr>
      </w:pPr>
      <w:r>
        <w:rPr>
          <w:color w:val="548DD4" w:themeColor="text2" w:themeTint="99"/>
          <w:lang w:val="en-US"/>
        </w:rPr>
        <w:t xml:space="preserve">Topics: </w:t>
      </w:r>
      <w:r w:rsidRPr="001B3820">
        <w:rPr>
          <w:color w:val="548DD4" w:themeColor="text2" w:themeTint="99"/>
          <w:lang w:val="en-US"/>
        </w:rPr>
        <w:t>Public Health, Quality and Patient Safety</w:t>
      </w:r>
    </w:p>
    <w:p w:rsidR="001B3820" w:rsidRPr="001B3820" w:rsidRDefault="001B3820" w:rsidP="001B3820">
      <w:pPr>
        <w:rPr>
          <w:color w:val="548DD4" w:themeColor="text2" w:themeTint="99"/>
          <w:lang w:val="en-US"/>
        </w:rPr>
      </w:pPr>
      <w:r>
        <w:rPr>
          <w:color w:val="548DD4" w:themeColor="text2" w:themeTint="99"/>
          <w:lang w:val="en-US"/>
        </w:rPr>
        <w:t xml:space="preserve">Activity: </w:t>
      </w:r>
      <w:r w:rsidRPr="001B3820">
        <w:rPr>
          <w:color w:val="548DD4" w:themeColor="text2" w:themeTint="99"/>
          <w:lang w:val="en-US"/>
        </w:rPr>
        <w:t>Public Health Effectiveness of the FDA 510(k) Clearance Process</w:t>
      </w:r>
    </w:p>
    <w:p w:rsidR="001B3820" w:rsidRPr="001B3820" w:rsidRDefault="001B3820" w:rsidP="001B3820">
      <w:pPr>
        <w:rPr>
          <w:color w:val="548DD4" w:themeColor="text2" w:themeTint="99"/>
          <w:lang w:val="en-US"/>
        </w:rPr>
      </w:pPr>
      <w:r>
        <w:rPr>
          <w:color w:val="548DD4" w:themeColor="text2" w:themeTint="99"/>
          <w:lang w:val="en-US"/>
        </w:rPr>
        <w:t xml:space="preserve">Board: </w:t>
      </w:r>
      <w:r w:rsidRPr="001B3820">
        <w:rPr>
          <w:color w:val="548DD4" w:themeColor="text2" w:themeTint="99"/>
          <w:lang w:val="en-US"/>
        </w:rPr>
        <w:t>Board on Population Health and Public Health Practice</w:t>
      </w:r>
    </w:p>
    <w:p w:rsidR="001B3820" w:rsidRPr="001B3820" w:rsidRDefault="001B3820" w:rsidP="001B3820">
      <w:pPr>
        <w:rPr>
          <w:color w:val="548DD4" w:themeColor="text2" w:themeTint="99"/>
          <w:lang w:val="en-US"/>
        </w:rPr>
      </w:pPr>
      <w:r w:rsidRPr="001B3820">
        <w:rPr>
          <w:color w:val="548DD4" w:themeColor="text2" w:themeTint="99"/>
          <w:lang w:val="en-US"/>
        </w:rPr>
        <w:t>Medical devices play a critical role in the health care of Americans. They can range from simple tools, such as tongue depressors and bandages, to complex or life-saving equipment, such as pacemakers, magnetic resonance imaging machines, and heart–lung machines. The Federal Food, Drug, and Cosmetic Act (FFDCA) requires a "reasonable assurance of safety and effectiveness" before a device can be marketed, and the U.S. Food and Drug Administration (FDA) is responsible for enforcing this requirement. Devices that are deemed to have a moderate risk to patients generally cannot go on the market until they are cleared through the 510(k) process, named for Section 510(k) of the FFDCA.  Some policymakers and patients have expressed concern about the ability of the 510(k) process to ensure that medical devices on the market are safe and effective. Other policymakers and patients, as well as the medical-device industry, have asserted that the process has become too burdensome and time-consuming and that it is delaying important new medical devices from entering the market.</w:t>
      </w:r>
    </w:p>
    <w:p w:rsidR="001B3820" w:rsidRDefault="001B3820" w:rsidP="001B3820">
      <w:pPr>
        <w:rPr>
          <w:color w:val="548DD4" w:themeColor="text2" w:themeTint="99"/>
          <w:lang w:val="en-US"/>
        </w:rPr>
      </w:pPr>
      <w:r w:rsidRPr="001B3820">
        <w:rPr>
          <w:color w:val="548DD4" w:themeColor="text2" w:themeTint="99"/>
          <w:lang w:val="en-US"/>
        </w:rPr>
        <w:t>The FDA turned to the IOM to review the 510(k) pr</w:t>
      </w:r>
      <w:r>
        <w:rPr>
          <w:color w:val="548DD4" w:themeColor="text2" w:themeTint="99"/>
          <w:lang w:val="en-US"/>
        </w:rPr>
        <w:t>ocess and answer two questions:</w:t>
      </w:r>
    </w:p>
    <w:p w:rsidR="001B3820" w:rsidRDefault="001B3820" w:rsidP="001B3820">
      <w:pPr>
        <w:rPr>
          <w:color w:val="548DD4" w:themeColor="text2" w:themeTint="99"/>
          <w:lang w:val="en-US"/>
        </w:rPr>
      </w:pPr>
      <w:r w:rsidRPr="001B3820">
        <w:rPr>
          <w:color w:val="548DD4" w:themeColor="text2" w:themeTint="99"/>
          <w:lang w:val="en-US"/>
        </w:rPr>
        <w:t>Does the current 510(k) process protect patients optimally and promote innovati</w:t>
      </w:r>
      <w:r>
        <w:rPr>
          <w:color w:val="548DD4" w:themeColor="text2" w:themeTint="99"/>
          <w:lang w:val="en-US"/>
        </w:rPr>
        <w:t>on in support of public health?</w:t>
      </w:r>
    </w:p>
    <w:p w:rsidR="001B3820" w:rsidRPr="001B3820" w:rsidRDefault="001B3820" w:rsidP="001B3820">
      <w:pPr>
        <w:rPr>
          <w:color w:val="548DD4" w:themeColor="text2" w:themeTint="99"/>
          <w:lang w:val="en-US"/>
        </w:rPr>
      </w:pPr>
      <w:r w:rsidRPr="001B3820">
        <w:rPr>
          <w:color w:val="548DD4" w:themeColor="text2" w:themeTint="99"/>
          <w:lang w:val="en-US"/>
        </w:rPr>
        <w:t xml:space="preserve"> If not, what legislative, regulatory, or administrative changes are recommended to achieve the goals of the 510(k) process optimally</w:t>
      </w:r>
    </w:p>
    <w:p w:rsidR="001B3820" w:rsidRPr="001B3820" w:rsidRDefault="001B3820" w:rsidP="001B3820">
      <w:pPr>
        <w:rPr>
          <w:color w:val="548DD4" w:themeColor="text2" w:themeTint="99"/>
          <w:lang w:val="en-US"/>
        </w:rPr>
      </w:pPr>
      <w:r w:rsidRPr="001B3820">
        <w:rPr>
          <w:color w:val="548DD4" w:themeColor="text2" w:themeTint="99"/>
          <w:lang w:val="en-US"/>
        </w:rPr>
        <w:t xml:space="preserve">The IOM finds that the current 510(k) process is flawed based on its legislative foundation. Rather than continuing to modify the 35-year-old 510(k) process, the IOM concludes that the FDA’s finite resources would be better invested in developing an integrated premarket and </w:t>
      </w:r>
      <w:proofErr w:type="spellStart"/>
      <w:r w:rsidRPr="001B3820">
        <w:rPr>
          <w:color w:val="548DD4" w:themeColor="text2" w:themeTint="99"/>
          <w:lang w:val="en-US"/>
        </w:rPr>
        <w:t>postmarket</w:t>
      </w:r>
      <w:proofErr w:type="spellEnd"/>
      <w:r w:rsidRPr="001B3820">
        <w:rPr>
          <w:color w:val="548DD4" w:themeColor="text2" w:themeTint="99"/>
          <w:lang w:val="en-US"/>
        </w:rPr>
        <w:t xml:space="preserve"> regulatory framework that provides a reasonable assurance of safety and effectiveness throughout the device life cycle. The IOM outlines its criteria for this framework in the report.</w:t>
      </w:r>
      <w:r>
        <w:rPr>
          <w:color w:val="548DD4" w:themeColor="text2" w:themeTint="99"/>
          <w:lang w:val="en-US"/>
        </w:rPr>
        <w:t>”</w:t>
      </w:r>
    </w:p>
    <w:p w:rsidR="00010C83" w:rsidRPr="000158FE" w:rsidRDefault="001D466E" w:rsidP="00010C83">
      <w:pPr>
        <w:rPr>
          <w:color w:val="FF0000"/>
          <w:lang w:val="en-US"/>
        </w:rPr>
      </w:pPr>
      <w:r w:rsidRPr="000158FE">
        <w:rPr>
          <w:color w:val="FF0000"/>
          <w:lang w:val="en-US"/>
        </w:rPr>
        <w:t>Nota3</w:t>
      </w:r>
      <w:r w:rsidR="00010C83" w:rsidRPr="000158FE">
        <w:rPr>
          <w:color w:val="FF0000"/>
          <w:lang w:val="en-US"/>
        </w:rPr>
        <w:t>:</w:t>
      </w:r>
    </w:p>
    <w:p w:rsidR="001D466E" w:rsidRPr="001D466E" w:rsidRDefault="001D466E" w:rsidP="001D466E">
      <w:pPr>
        <w:rPr>
          <w:color w:val="548DD4" w:themeColor="text2" w:themeTint="99"/>
          <w:lang w:val="en-US"/>
        </w:rPr>
      </w:pPr>
      <w:proofErr w:type="spellStart"/>
      <w:r w:rsidRPr="001D466E">
        <w:rPr>
          <w:color w:val="548DD4" w:themeColor="text2" w:themeTint="99"/>
          <w:lang w:val="en-US"/>
        </w:rPr>
        <w:t>Clin</w:t>
      </w:r>
      <w:proofErr w:type="spellEnd"/>
      <w:r w:rsidRPr="001D466E">
        <w:rPr>
          <w:color w:val="548DD4" w:themeColor="text2" w:themeTint="99"/>
          <w:lang w:val="en-US"/>
        </w:rPr>
        <w:t xml:space="preserve"> </w:t>
      </w:r>
      <w:proofErr w:type="spellStart"/>
      <w:r w:rsidRPr="001D466E">
        <w:rPr>
          <w:color w:val="548DD4" w:themeColor="text2" w:themeTint="99"/>
          <w:lang w:val="en-US"/>
        </w:rPr>
        <w:t>Orthop</w:t>
      </w:r>
      <w:proofErr w:type="spellEnd"/>
      <w:r w:rsidRPr="001D466E">
        <w:rPr>
          <w:color w:val="548DD4" w:themeColor="text2" w:themeTint="99"/>
          <w:lang w:val="en-US"/>
        </w:rPr>
        <w:t xml:space="preserve"> </w:t>
      </w:r>
      <w:proofErr w:type="spellStart"/>
      <w:r w:rsidRPr="001D466E">
        <w:rPr>
          <w:color w:val="548DD4" w:themeColor="text2" w:themeTint="99"/>
          <w:lang w:val="en-US"/>
        </w:rPr>
        <w:t>Relat</w:t>
      </w:r>
      <w:proofErr w:type="spellEnd"/>
      <w:r w:rsidRPr="001D466E">
        <w:rPr>
          <w:color w:val="548DD4" w:themeColor="text2" w:themeTint="99"/>
          <w:lang w:val="en-US"/>
        </w:rPr>
        <w:t xml:space="preserve"> Res. 1983 Jun;(176):115-23.</w:t>
      </w:r>
    </w:p>
    <w:p w:rsidR="001D466E" w:rsidRPr="001D466E" w:rsidRDefault="001D466E" w:rsidP="001D466E">
      <w:pPr>
        <w:rPr>
          <w:color w:val="548DD4" w:themeColor="text2" w:themeTint="99"/>
          <w:lang w:val="en-US"/>
        </w:rPr>
      </w:pPr>
      <w:r w:rsidRPr="001D466E">
        <w:rPr>
          <w:color w:val="548DD4" w:themeColor="text2" w:themeTint="99"/>
          <w:lang w:val="en-US"/>
        </w:rPr>
        <w:t>Ring UPM total hip arthroplasty.</w:t>
      </w:r>
    </w:p>
    <w:p w:rsidR="001D466E" w:rsidRPr="001D466E" w:rsidRDefault="001D466E" w:rsidP="001D466E">
      <w:pPr>
        <w:rPr>
          <w:color w:val="548DD4" w:themeColor="text2" w:themeTint="99"/>
          <w:lang w:val="en-US"/>
        </w:rPr>
      </w:pPr>
      <w:r w:rsidRPr="001D466E">
        <w:rPr>
          <w:color w:val="548DD4" w:themeColor="text2" w:themeTint="99"/>
          <w:lang w:val="en-US"/>
        </w:rPr>
        <w:t>Ring PA.</w:t>
      </w:r>
    </w:p>
    <w:p w:rsidR="001D466E" w:rsidRPr="001D466E" w:rsidRDefault="001D466E" w:rsidP="001D466E">
      <w:pPr>
        <w:rPr>
          <w:color w:val="548DD4" w:themeColor="text2" w:themeTint="99"/>
          <w:lang w:val="en-US"/>
        </w:rPr>
      </w:pPr>
      <w:r w:rsidRPr="001D466E">
        <w:rPr>
          <w:color w:val="548DD4" w:themeColor="text2" w:themeTint="99"/>
          <w:lang w:val="en-US"/>
        </w:rPr>
        <w:t>Abstract</w:t>
      </w:r>
    </w:p>
    <w:p w:rsidR="001D466E" w:rsidRDefault="001D466E" w:rsidP="001D466E">
      <w:pPr>
        <w:rPr>
          <w:color w:val="548DD4" w:themeColor="text2" w:themeTint="99"/>
          <w:lang w:val="en-US"/>
        </w:rPr>
      </w:pPr>
      <w:r w:rsidRPr="001D466E">
        <w:rPr>
          <w:color w:val="548DD4" w:themeColor="text2" w:themeTint="99"/>
          <w:lang w:val="en-US"/>
        </w:rPr>
        <w:t xml:space="preserve">It is apparent that failure at the cement-bone interface is an increasing problem with total hip arthroplasty. This failure may be difficult or impossible to rectify. The risk of infection at the cement-bone interface and the difficulty of </w:t>
      </w:r>
      <w:proofErr w:type="spellStart"/>
      <w:r w:rsidRPr="001D466E">
        <w:rPr>
          <w:color w:val="548DD4" w:themeColor="text2" w:themeTint="99"/>
          <w:lang w:val="en-US"/>
        </w:rPr>
        <w:t>revisional</w:t>
      </w:r>
      <w:proofErr w:type="spellEnd"/>
      <w:r w:rsidRPr="001D466E">
        <w:rPr>
          <w:color w:val="548DD4" w:themeColor="text2" w:themeTint="99"/>
          <w:lang w:val="en-US"/>
        </w:rPr>
        <w:t xml:space="preserve"> surgery in the cemented articulation appear to justify fully an attempt to develop a reliable, uncemented total hip prosthesis. During the period from 1980 to 1982, 471 uncemented metal-on-plastic total hip arthroplasties have been performed. The results were compared with those for earlier metal-on-metal articulations and a comparable group of cemented metal-on-plastic joints. The short-term results for this procedure appear better than those obtained with the uncemented metal-on-metal articulation and comparable with those of the cemented joint, while retaining the relative freedom from complications of the uncemented articulation. The implant relies on the axial location of the pelvic component, and it is designed to be revised with ease, should revision prove necessary.</w:t>
      </w:r>
    </w:p>
    <w:p w:rsidR="000158FE" w:rsidRDefault="000158FE" w:rsidP="001D466E">
      <w:pPr>
        <w:rPr>
          <w:color w:val="548DD4" w:themeColor="text2" w:themeTint="99"/>
          <w:lang w:val="en-US"/>
        </w:rPr>
      </w:pPr>
    </w:p>
    <w:p w:rsidR="000158FE" w:rsidRPr="000158FE" w:rsidRDefault="000158FE" w:rsidP="001D466E">
      <w:pPr>
        <w:rPr>
          <w:color w:val="FF0000"/>
        </w:rPr>
      </w:pPr>
      <w:r w:rsidRPr="000158FE">
        <w:rPr>
          <w:color w:val="FF0000"/>
        </w:rPr>
        <w:t>Nota 4:</w:t>
      </w:r>
    </w:p>
    <w:p w:rsidR="000158FE" w:rsidRPr="000158FE" w:rsidRDefault="000158FE" w:rsidP="000158FE">
      <w:pPr>
        <w:rPr>
          <w:color w:val="548DD4" w:themeColor="text2" w:themeTint="99"/>
          <w:lang w:val="en-US"/>
        </w:rPr>
      </w:pPr>
      <w:r w:rsidRPr="000158FE">
        <w:rPr>
          <w:color w:val="548DD4" w:themeColor="text2" w:themeTint="99"/>
        </w:rPr>
        <w:t xml:space="preserve">Arch Sci Med (Torino). </w:t>
      </w:r>
      <w:r w:rsidRPr="000158FE">
        <w:rPr>
          <w:color w:val="548DD4" w:themeColor="text2" w:themeTint="99"/>
          <w:lang w:val="en-US"/>
        </w:rPr>
        <w:t>1979 Jan-Mar;136(1):45-50.</w:t>
      </w:r>
    </w:p>
    <w:p w:rsidR="000158FE" w:rsidRPr="000158FE" w:rsidRDefault="000158FE" w:rsidP="000158FE">
      <w:pPr>
        <w:rPr>
          <w:color w:val="548DD4" w:themeColor="text2" w:themeTint="99"/>
          <w:lang w:val="en-US"/>
        </w:rPr>
      </w:pPr>
      <w:r w:rsidRPr="000158FE">
        <w:rPr>
          <w:color w:val="548DD4" w:themeColor="text2" w:themeTint="99"/>
          <w:lang w:val="en-US"/>
        </w:rPr>
        <w:t xml:space="preserve">[Long-term results of 2 continuous series of total hip prostheses of the McKee-Farrar </w:t>
      </w:r>
      <w:proofErr w:type="spellStart"/>
      <w:r w:rsidRPr="000158FE">
        <w:rPr>
          <w:color w:val="548DD4" w:themeColor="text2" w:themeTint="99"/>
          <w:lang w:val="en-US"/>
        </w:rPr>
        <w:t>metallo</w:t>
      </w:r>
      <w:proofErr w:type="spellEnd"/>
      <w:r w:rsidRPr="000158FE">
        <w:rPr>
          <w:color w:val="548DD4" w:themeColor="text2" w:themeTint="99"/>
          <w:lang w:val="en-US"/>
        </w:rPr>
        <w:t xml:space="preserve">-metal type and the </w:t>
      </w:r>
      <w:proofErr w:type="spellStart"/>
      <w:r w:rsidRPr="000158FE">
        <w:rPr>
          <w:color w:val="548DD4" w:themeColor="text2" w:themeTint="99"/>
          <w:lang w:val="en-US"/>
        </w:rPr>
        <w:t>Charnley</w:t>
      </w:r>
      <w:proofErr w:type="spellEnd"/>
      <w:r w:rsidRPr="000158FE">
        <w:rPr>
          <w:color w:val="548DD4" w:themeColor="text2" w:themeTint="99"/>
          <w:lang w:val="en-US"/>
        </w:rPr>
        <w:t xml:space="preserve"> </w:t>
      </w:r>
      <w:proofErr w:type="spellStart"/>
      <w:r w:rsidRPr="000158FE">
        <w:rPr>
          <w:color w:val="548DD4" w:themeColor="text2" w:themeTint="99"/>
          <w:lang w:val="en-US"/>
        </w:rPr>
        <w:t>metallo</w:t>
      </w:r>
      <w:proofErr w:type="spellEnd"/>
      <w:r w:rsidRPr="000158FE">
        <w:rPr>
          <w:color w:val="548DD4" w:themeColor="text2" w:themeTint="99"/>
          <w:lang w:val="en-US"/>
        </w:rPr>
        <w:t>-plastic type].</w:t>
      </w:r>
    </w:p>
    <w:p w:rsidR="000158FE" w:rsidRPr="000158FE" w:rsidRDefault="000158FE" w:rsidP="000158FE">
      <w:pPr>
        <w:rPr>
          <w:color w:val="548DD4" w:themeColor="text2" w:themeTint="99"/>
          <w:lang w:val="en-US"/>
        </w:rPr>
      </w:pPr>
      <w:r w:rsidRPr="000158FE">
        <w:rPr>
          <w:color w:val="548DD4" w:themeColor="text2" w:themeTint="99"/>
          <w:lang w:val="en-US"/>
        </w:rPr>
        <w:t>[Article in Italian]</w:t>
      </w:r>
    </w:p>
    <w:p w:rsidR="000158FE" w:rsidRPr="000158FE" w:rsidRDefault="000158FE" w:rsidP="000158FE">
      <w:pPr>
        <w:rPr>
          <w:color w:val="548DD4" w:themeColor="text2" w:themeTint="99"/>
          <w:lang w:val="en-US"/>
        </w:rPr>
      </w:pPr>
      <w:proofErr w:type="spellStart"/>
      <w:r w:rsidRPr="000158FE">
        <w:rPr>
          <w:color w:val="548DD4" w:themeColor="text2" w:themeTint="99"/>
          <w:lang w:val="en-US"/>
        </w:rPr>
        <w:t>Cabitza</w:t>
      </w:r>
      <w:proofErr w:type="spellEnd"/>
      <w:r w:rsidRPr="000158FE">
        <w:rPr>
          <w:color w:val="548DD4" w:themeColor="text2" w:themeTint="99"/>
          <w:lang w:val="en-US"/>
        </w:rPr>
        <w:t xml:space="preserve"> P, </w:t>
      </w:r>
      <w:proofErr w:type="spellStart"/>
      <w:r w:rsidRPr="000158FE">
        <w:rPr>
          <w:color w:val="548DD4" w:themeColor="text2" w:themeTint="99"/>
          <w:lang w:val="en-US"/>
        </w:rPr>
        <w:t>Percudani</w:t>
      </w:r>
      <w:proofErr w:type="spellEnd"/>
      <w:r w:rsidRPr="000158FE">
        <w:rPr>
          <w:color w:val="548DD4" w:themeColor="text2" w:themeTint="99"/>
          <w:lang w:val="en-US"/>
        </w:rPr>
        <w:t xml:space="preserve"> W.</w:t>
      </w:r>
    </w:p>
    <w:p w:rsidR="000158FE" w:rsidRPr="000158FE" w:rsidRDefault="000158FE" w:rsidP="000158FE">
      <w:pPr>
        <w:rPr>
          <w:color w:val="548DD4" w:themeColor="text2" w:themeTint="99"/>
          <w:lang w:val="en-US"/>
        </w:rPr>
      </w:pPr>
      <w:r w:rsidRPr="000158FE">
        <w:rPr>
          <w:color w:val="548DD4" w:themeColor="text2" w:themeTint="99"/>
          <w:lang w:val="en-US"/>
        </w:rPr>
        <w:t>Abstract</w:t>
      </w:r>
    </w:p>
    <w:p w:rsidR="000158FE" w:rsidRPr="000158FE" w:rsidRDefault="000158FE" w:rsidP="000158FE">
      <w:pPr>
        <w:rPr>
          <w:color w:val="548DD4" w:themeColor="text2" w:themeTint="99"/>
          <w:lang w:val="en-US"/>
        </w:rPr>
      </w:pPr>
    </w:p>
    <w:p w:rsidR="000158FE" w:rsidRDefault="000158FE" w:rsidP="000158FE">
      <w:pPr>
        <w:rPr>
          <w:color w:val="548DD4" w:themeColor="text2" w:themeTint="99"/>
          <w:lang w:val="en-US"/>
        </w:rPr>
      </w:pPr>
      <w:r w:rsidRPr="000158FE">
        <w:rPr>
          <w:color w:val="548DD4" w:themeColor="text2" w:themeTint="99"/>
          <w:lang w:val="en-US"/>
        </w:rPr>
        <w:t xml:space="preserve">Two continuous series of McKee-Farrar type metal-metal and </w:t>
      </w:r>
      <w:proofErr w:type="spellStart"/>
      <w:r w:rsidRPr="000158FE">
        <w:rPr>
          <w:color w:val="548DD4" w:themeColor="text2" w:themeTint="99"/>
          <w:lang w:val="en-US"/>
        </w:rPr>
        <w:t>Charnley</w:t>
      </w:r>
      <w:proofErr w:type="spellEnd"/>
      <w:r w:rsidRPr="000158FE">
        <w:rPr>
          <w:color w:val="548DD4" w:themeColor="text2" w:themeTint="99"/>
          <w:lang w:val="en-US"/>
        </w:rPr>
        <w:t xml:space="preserve"> type metal-plastic prostheses have been examined. Results are </w:t>
      </w:r>
      <w:proofErr w:type="spellStart"/>
      <w:r w:rsidRPr="000158FE">
        <w:rPr>
          <w:color w:val="548DD4" w:themeColor="text2" w:themeTint="99"/>
          <w:lang w:val="en-US"/>
        </w:rPr>
        <w:t>analysed</w:t>
      </w:r>
      <w:proofErr w:type="spellEnd"/>
      <w:r w:rsidRPr="000158FE">
        <w:rPr>
          <w:color w:val="548DD4" w:themeColor="text2" w:themeTint="99"/>
          <w:lang w:val="en-US"/>
        </w:rPr>
        <w:t xml:space="preserve"> and complications examined ten years after the operation. The McKee-Farrar prostheses showed inferior results in all parameters and a markedly higher incidence of late complications compared to the </w:t>
      </w:r>
      <w:proofErr w:type="spellStart"/>
      <w:r w:rsidRPr="000158FE">
        <w:rPr>
          <w:color w:val="548DD4" w:themeColor="text2" w:themeTint="99"/>
          <w:lang w:val="en-US"/>
        </w:rPr>
        <w:t>Charnley</w:t>
      </w:r>
      <w:proofErr w:type="spellEnd"/>
      <w:r w:rsidRPr="000158FE">
        <w:rPr>
          <w:color w:val="548DD4" w:themeColor="text2" w:themeTint="99"/>
          <w:lang w:val="en-US"/>
        </w:rPr>
        <w:t xml:space="preserve"> prostheses.</w:t>
      </w:r>
    </w:p>
    <w:p w:rsidR="000158FE" w:rsidRDefault="000158FE" w:rsidP="000158FE">
      <w:pPr>
        <w:rPr>
          <w:color w:val="548DD4" w:themeColor="text2" w:themeTint="99"/>
          <w:lang w:val="en-US"/>
        </w:rPr>
      </w:pPr>
    </w:p>
    <w:p w:rsidR="000158FE" w:rsidRPr="006A6766" w:rsidRDefault="000158FE" w:rsidP="000158FE">
      <w:pPr>
        <w:rPr>
          <w:color w:val="548DD4" w:themeColor="text2" w:themeTint="99"/>
          <w:lang w:val="en-US"/>
        </w:rPr>
      </w:pPr>
    </w:p>
    <w:p w:rsidR="00FA77DF" w:rsidRPr="00481159" w:rsidRDefault="00F27C98" w:rsidP="001C352F">
      <w:pPr>
        <w:rPr>
          <w:color w:val="1F497D" w:themeColor="text2"/>
          <w:sz w:val="28"/>
        </w:rPr>
      </w:pPr>
      <w:r w:rsidRPr="00481159">
        <w:rPr>
          <w:color w:val="1F497D" w:themeColor="text2"/>
          <w:sz w:val="28"/>
        </w:rPr>
        <w:t>TRADUZIONE:</w:t>
      </w:r>
    </w:p>
    <w:p w:rsidR="00F27C98" w:rsidRPr="00481159" w:rsidRDefault="00F27C98" w:rsidP="00F27C98">
      <w:pPr>
        <w:autoSpaceDE w:val="0"/>
        <w:autoSpaceDN w:val="0"/>
        <w:adjustRightInd w:val="0"/>
        <w:spacing w:after="0" w:line="240" w:lineRule="auto"/>
        <w:contextualSpacing/>
        <w:mirrorIndents/>
        <w:rPr>
          <w:rFonts w:asciiTheme="majorHAnsi" w:eastAsia="OTNEJMQuadraat" w:hAnsiTheme="majorHAnsi" w:cs="OTNEJMQuadraat"/>
          <w:color w:val="1F497D" w:themeColor="text2"/>
          <w:sz w:val="32"/>
          <w:szCs w:val="24"/>
        </w:rPr>
      </w:pPr>
      <w:r w:rsidRPr="00481159">
        <w:rPr>
          <w:rFonts w:asciiTheme="majorHAnsi" w:eastAsia="OTNEJMQuadraat" w:hAnsiTheme="majorHAnsi" w:cs="OTNEJMQuadraat"/>
          <w:color w:val="1F497D" w:themeColor="text2"/>
          <w:sz w:val="32"/>
          <w:szCs w:val="24"/>
        </w:rPr>
        <w:t>Molti d</w:t>
      </w:r>
      <w:r w:rsidR="00481159" w:rsidRPr="00481159">
        <w:rPr>
          <w:rFonts w:asciiTheme="majorHAnsi" w:eastAsia="OTNEJMQuadraat" w:hAnsiTheme="majorHAnsi" w:cs="OTNEJMQuadraat"/>
          <w:color w:val="1F497D" w:themeColor="text2"/>
          <w:sz w:val="32"/>
          <w:szCs w:val="24"/>
        </w:rPr>
        <w:t>ispositivi medici che mettono a</w:t>
      </w:r>
      <w:r w:rsidRPr="00481159">
        <w:rPr>
          <w:rFonts w:asciiTheme="majorHAnsi" w:eastAsia="OTNEJMQuadraat" w:hAnsiTheme="majorHAnsi" w:cs="OTNEJMQuadraat"/>
          <w:color w:val="1F497D" w:themeColor="text2"/>
          <w:sz w:val="32"/>
          <w:szCs w:val="24"/>
        </w:rPr>
        <w:t xml:space="preserve"> grave rischio la sicurezza degli americani, incluse le protesi d’anca metallo-metallo, correntemente vengono immessi in commercio attraverso un percorso normativo effettuato dalla Food and Drug Administration (FDA) che non è inteso a valutare la sicurezza e l’efficacia. Questo percorso, chiamato p</w:t>
      </w:r>
      <w:r w:rsidR="00A83251" w:rsidRPr="00481159">
        <w:rPr>
          <w:rFonts w:asciiTheme="majorHAnsi" w:eastAsia="OTNEJMQuadraat" w:hAnsiTheme="majorHAnsi" w:cs="OTNEJMQuadraat"/>
          <w:color w:val="1F497D" w:themeColor="text2"/>
          <w:sz w:val="32"/>
          <w:szCs w:val="24"/>
        </w:rPr>
        <w:t>rocesso 510(k), invece effettua</w:t>
      </w:r>
      <w:r w:rsidRPr="00481159">
        <w:rPr>
          <w:rFonts w:asciiTheme="majorHAnsi" w:eastAsia="OTNEJMQuadraat" w:hAnsiTheme="majorHAnsi" w:cs="OTNEJMQuadraat"/>
          <w:color w:val="1F497D" w:themeColor="text2"/>
          <w:sz w:val="32"/>
          <w:szCs w:val="24"/>
        </w:rPr>
        <w:t xml:space="preserve"> una valutazione di “sostanziale equivalenza” rispetto a dispositivi precedentemente autorizzati, molti dei quali non sono mai stati valutati per sicurezza ed efficacia e alcuni dei quali non sono più in uso a causa della scarsa performance clinica.</w:t>
      </w:r>
    </w:p>
    <w:p w:rsidR="00F27C98" w:rsidRPr="00481159" w:rsidRDefault="00F27C98" w:rsidP="00F27C98">
      <w:pPr>
        <w:autoSpaceDE w:val="0"/>
        <w:autoSpaceDN w:val="0"/>
        <w:adjustRightInd w:val="0"/>
        <w:spacing w:after="0" w:line="240" w:lineRule="auto"/>
        <w:contextualSpacing/>
        <w:mirrorIndents/>
        <w:rPr>
          <w:rFonts w:asciiTheme="majorHAnsi" w:eastAsia="OTNEJMQuadraat" w:hAnsiTheme="majorHAnsi" w:cs="OTNEJMQuadraat"/>
          <w:color w:val="1F497D" w:themeColor="text2"/>
          <w:sz w:val="32"/>
          <w:szCs w:val="24"/>
        </w:rPr>
      </w:pPr>
      <w:r w:rsidRPr="00481159">
        <w:rPr>
          <w:rFonts w:asciiTheme="majorHAnsi" w:eastAsia="OTNEJMQuadraat" w:hAnsiTheme="majorHAnsi" w:cs="OTNEJMQuadraat"/>
          <w:color w:val="1F497D" w:themeColor="text2"/>
          <w:sz w:val="32"/>
          <w:szCs w:val="24"/>
        </w:rPr>
        <w:t>Gli emendamenti sui dispositivi medici del 1976 crearono tre classi di dispositivi: la I classe includeva dispositivi a basso rischio, come gli spazzolini da denti; la II classe includeva dispositivi a rischio moderat</w:t>
      </w:r>
      <w:r w:rsidR="00511B42" w:rsidRPr="00481159">
        <w:rPr>
          <w:rFonts w:asciiTheme="majorHAnsi" w:eastAsia="OTNEJMQuadraat" w:hAnsiTheme="majorHAnsi" w:cs="OTNEJMQuadraat"/>
          <w:color w:val="1F497D" w:themeColor="text2"/>
          <w:sz w:val="32"/>
          <w:szCs w:val="24"/>
        </w:rPr>
        <w:t>o, come le pompe ad infusione;</w:t>
      </w:r>
      <w:r w:rsidRPr="00481159">
        <w:rPr>
          <w:rFonts w:asciiTheme="majorHAnsi" w:eastAsia="OTNEJMQuadraat" w:hAnsiTheme="majorHAnsi" w:cs="OTNEJMQuadraat"/>
          <w:color w:val="1F497D" w:themeColor="text2"/>
          <w:sz w:val="32"/>
          <w:szCs w:val="24"/>
        </w:rPr>
        <w:t xml:space="preserve"> la III classe includeva dispositivi ad alto rischio e quelli che erano in attesa di una classificazione corretta, come le protesi d’anca metallo-metallo. Queste classi corrispondevano approssimativamente al livello di revisione pre-commercializzazione richiesto.</w:t>
      </w:r>
    </w:p>
    <w:p w:rsidR="00650BBD" w:rsidRPr="00481159" w:rsidRDefault="00650BBD" w:rsidP="00650BBD">
      <w:pPr>
        <w:autoSpaceDE w:val="0"/>
        <w:autoSpaceDN w:val="0"/>
        <w:adjustRightInd w:val="0"/>
        <w:spacing w:after="0" w:line="240" w:lineRule="auto"/>
        <w:contextualSpacing/>
        <w:mirrorIndents/>
        <w:rPr>
          <w:rFonts w:asciiTheme="majorHAnsi" w:eastAsia="OTNEJMQuadraat" w:hAnsiTheme="majorHAnsi" w:cs="OTNEJMQuadraat"/>
          <w:color w:val="1F497D" w:themeColor="text2"/>
          <w:sz w:val="32"/>
          <w:szCs w:val="24"/>
        </w:rPr>
      </w:pPr>
      <w:r w:rsidRPr="00481159">
        <w:rPr>
          <w:rFonts w:asciiTheme="majorHAnsi" w:eastAsia="OTNEJMQuadraat" w:hAnsiTheme="majorHAnsi" w:cs="OTNEJMQuadraat"/>
          <w:color w:val="1F497D" w:themeColor="text2"/>
          <w:sz w:val="32"/>
          <w:szCs w:val="24"/>
        </w:rPr>
        <w:t>Così, i dispositivi di classe I e II erano sottoposti a revisione per sostanziale equivalenza rispetto a dispositivi già esistenti in commercio, anche detti dispositivi pre-e</w:t>
      </w:r>
      <w:r w:rsidR="00AF7050" w:rsidRPr="00481159">
        <w:rPr>
          <w:rFonts w:asciiTheme="majorHAnsi" w:eastAsia="OTNEJMQuadraat" w:hAnsiTheme="majorHAnsi" w:cs="OTNEJMQuadraat"/>
          <w:color w:val="1F497D" w:themeColor="text2"/>
          <w:sz w:val="32"/>
          <w:szCs w:val="24"/>
        </w:rPr>
        <w:t>mendamento (</w:t>
      </w:r>
      <w:r w:rsidRPr="00481159">
        <w:rPr>
          <w:rFonts w:asciiTheme="majorHAnsi" w:eastAsia="OTNEJMQuadraat" w:hAnsiTheme="majorHAnsi" w:cs="OTNEJMQuadraat"/>
          <w:color w:val="1F497D" w:themeColor="text2"/>
          <w:sz w:val="32"/>
          <w:szCs w:val="24"/>
        </w:rPr>
        <w:t>sebbene la legislazione successiva  concesse esenzioni). I dispositivi di classe III dovevano essere sottoposti a una più rigorosa approvazione pre-commercializzazione (PMA), il solo procedimento che richiede dati clinici. Tuttavia, i dispositivi di classe III sono stati autorizzati a ricevere una temporanea recensione di sostanziale equivalenza, finché la FDA non li avesse classificati  o non avesse emanato regolamenti che richiedano una PMA. Il congress</w:t>
      </w:r>
      <w:r w:rsidR="00DE0565" w:rsidRPr="00481159">
        <w:rPr>
          <w:rFonts w:asciiTheme="majorHAnsi" w:eastAsia="OTNEJMQuadraat" w:hAnsiTheme="majorHAnsi" w:cs="OTNEJMQuadraat"/>
          <w:color w:val="1F497D" w:themeColor="text2"/>
          <w:sz w:val="32"/>
          <w:szCs w:val="24"/>
        </w:rPr>
        <w:t xml:space="preserve">o </w:t>
      </w:r>
      <w:r w:rsidRPr="00481159">
        <w:rPr>
          <w:rFonts w:asciiTheme="majorHAnsi" w:eastAsia="OTNEJMQuadraat" w:hAnsiTheme="majorHAnsi" w:cs="OTNEJMQuadraat"/>
          <w:color w:val="1F497D" w:themeColor="text2"/>
          <w:sz w:val="32"/>
          <w:szCs w:val="24"/>
        </w:rPr>
        <w:t>ne</w:t>
      </w:r>
      <w:r w:rsidR="00DE0565" w:rsidRPr="00481159">
        <w:rPr>
          <w:rFonts w:asciiTheme="majorHAnsi" w:eastAsia="OTNEJMQuadraat" w:hAnsiTheme="majorHAnsi" w:cs="OTNEJMQuadraat"/>
          <w:color w:val="1F497D" w:themeColor="text2"/>
          <w:sz w:val="32"/>
          <w:szCs w:val="24"/>
        </w:rPr>
        <w:t>l 1990 ha diretto l’FDA</w:t>
      </w:r>
      <w:r w:rsidRPr="00481159">
        <w:rPr>
          <w:rFonts w:asciiTheme="majorHAnsi" w:eastAsia="OTNEJMQuadraat" w:hAnsiTheme="majorHAnsi" w:cs="OTNEJMQuadraat"/>
          <w:color w:val="1F497D" w:themeColor="text2"/>
          <w:sz w:val="32"/>
          <w:szCs w:val="24"/>
        </w:rPr>
        <w:t xml:space="preserve"> affinché si stabilisse un calendario per terminare il passaggio alla PMA per tutti i dispositivi che erano destinati a rimanere in classe III.</w:t>
      </w:r>
    </w:p>
    <w:p w:rsidR="009D7A4B" w:rsidRPr="00481159" w:rsidRDefault="009D7A4B" w:rsidP="009D7A4B">
      <w:pPr>
        <w:autoSpaceDE w:val="0"/>
        <w:autoSpaceDN w:val="0"/>
        <w:adjustRightInd w:val="0"/>
        <w:spacing w:after="0" w:line="240" w:lineRule="auto"/>
        <w:contextualSpacing/>
        <w:mirrorIndents/>
        <w:rPr>
          <w:rFonts w:asciiTheme="majorHAnsi" w:eastAsia="OTNEJMQuadraat" w:hAnsiTheme="majorHAnsi" w:cs="OTNEJMQuadraat"/>
          <w:color w:val="1F497D" w:themeColor="text2"/>
          <w:sz w:val="32"/>
          <w:szCs w:val="24"/>
        </w:rPr>
      </w:pPr>
      <w:r w:rsidRPr="00481159">
        <w:rPr>
          <w:rFonts w:asciiTheme="majorHAnsi" w:eastAsia="OTNEJMQuadraat" w:hAnsiTheme="majorHAnsi" w:cs="OTNEJMQuadraat"/>
          <w:color w:val="1F497D" w:themeColor="text2"/>
          <w:sz w:val="32"/>
          <w:szCs w:val="24"/>
        </w:rPr>
        <w:t>Al 19 dicembre 2012, tuttavia, la FDA non aveva ancora completato questo passaggio al</w:t>
      </w:r>
      <w:r w:rsidR="00AF7050" w:rsidRPr="00481159">
        <w:rPr>
          <w:rFonts w:asciiTheme="majorHAnsi" w:eastAsia="OTNEJMQuadraat" w:hAnsiTheme="majorHAnsi" w:cs="OTNEJMQuadraat"/>
          <w:color w:val="1F497D" w:themeColor="text2"/>
          <w:sz w:val="32"/>
          <w:szCs w:val="24"/>
        </w:rPr>
        <w:t>la</w:t>
      </w:r>
      <w:r w:rsidRPr="00481159">
        <w:rPr>
          <w:rFonts w:asciiTheme="majorHAnsi" w:eastAsia="OTNEJMQuadraat" w:hAnsiTheme="majorHAnsi" w:cs="OTNEJMQuadraat"/>
          <w:color w:val="1F497D" w:themeColor="text2"/>
          <w:sz w:val="32"/>
          <w:szCs w:val="24"/>
        </w:rPr>
        <w:t xml:space="preserve"> PMA per i dispositivi ad alto rischio, sebbene fosse stata stabilita la sua intenzione a chiarire i ruoli proposti per tutti i dispositivi pre-emendamento di classe III entro il 31 dicembre 2012. Attualmente, 19 differenti tipi di dispositivi di classe III, incluse le protesi d’anca metallo-metallo, hanno la possibilità di raggiungere i pazienti grazie all’approvazione della 510(k). A causa di questa falla, le compagnie che commercializzano questo tipo di dispositivi sono spesso legalmente  in grado di ottenere approvazioni senza dimostrare sicurezza ed efficacia attraverso studi clinici, ma reclamando una sostanziale equivalenza rispetto a precedenti “</w:t>
      </w:r>
      <w:r w:rsidR="006A6766" w:rsidRPr="00481159">
        <w:rPr>
          <w:rFonts w:asciiTheme="majorHAnsi" w:eastAsia="OTNEJMQuadraat" w:hAnsiTheme="majorHAnsi" w:cs="OTNEJMQuadraat"/>
          <w:color w:val="1F497D" w:themeColor="text2"/>
          <w:sz w:val="32"/>
          <w:szCs w:val="24"/>
        </w:rPr>
        <w:t>dispositivi di  riferimen</w:t>
      </w:r>
      <w:r w:rsidRPr="00481159">
        <w:rPr>
          <w:rFonts w:asciiTheme="majorHAnsi" w:eastAsia="OTNEJMQuadraat" w:hAnsiTheme="majorHAnsi" w:cs="OTNEJMQuadraat"/>
          <w:color w:val="1F497D" w:themeColor="text2"/>
          <w:sz w:val="32"/>
          <w:szCs w:val="24"/>
        </w:rPr>
        <w:t>to”- o pezzi di questi dispositivi- che potevano anche essere stati trovati sostanzialmente equivalenti a dispositivi precedenti, e così via, tutto il percorso che riportava ai dispositivi pre-emendamento.</w:t>
      </w:r>
    </w:p>
    <w:p w:rsidR="00DD5276" w:rsidRPr="00481159" w:rsidRDefault="00DD5276" w:rsidP="00DD5276">
      <w:pPr>
        <w:autoSpaceDE w:val="0"/>
        <w:autoSpaceDN w:val="0"/>
        <w:adjustRightInd w:val="0"/>
        <w:spacing w:after="0" w:line="240" w:lineRule="auto"/>
        <w:contextualSpacing/>
        <w:mirrorIndents/>
        <w:rPr>
          <w:rFonts w:asciiTheme="majorHAnsi" w:eastAsia="OTNEJMQuadraat" w:hAnsiTheme="majorHAnsi" w:cs="OTNEJMQuadraat"/>
          <w:color w:val="1F497D" w:themeColor="text2"/>
          <w:sz w:val="32"/>
          <w:szCs w:val="24"/>
        </w:rPr>
      </w:pPr>
      <w:r w:rsidRPr="00481159">
        <w:rPr>
          <w:rFonts w:asciiTheme="majorHAnsi" w:eastAsia="OTNEJMQuadraat" w:hAnsiTheme="majorHAnsi" w:cs="OTNEJMQuadraat"/>
          <w:color w:val="1F497D" w:themeColor="text2"/>
          <w:sz w:val="32"/>
          <w:szCs w:val="24"/>
        </w:rPr>
        <w:t xml:space="preserve">Poiché molti </w:t>
      </w:r>
      <w:r w:rsidR="006A6766" w:rsidRPr="00481159">
        <w:rPr>
          <w:rFonts w:asciiTheme="majorHAnsi" w:eastAsia="OTNEJMQuadraat" w:hAnsiTheme="majorHAnsi" w:cs="OTNEJMQuadraat"/>
          <w:color w:val="1F497D" w:themeColor="text2"/>
          <w:sz w:val="32"/>
          <w:szCs w:val="24"/>
        </w:rPr>
        <w:t>dispositivi di riferimento</w:t>
      </w:r>
      <w:r w:rsidRPr="00481159">
        <w:rPr>
          <w:rFonts w:asciiTheme="majorHAnsi" w:eastAsia="OTNEJMQuadraat" w:hAnsiTheme="majorHAnsi" w:cs="OTNEJMQuadraat"/>
          <w:color w:val="1F497D" w:themeColor="text2"/>
          <w:sz w:val="32"/>
          <w:szCs w:val="24"/>
        </w:rPr>
        <w:t xml:space="preserve"> non sono mai stati valutati in termini di sicurezza e efficacia, una dichiarazione della FDA di sostanziale equivalenza non significa che un nuovo dispositivo è sicuro ed efficace; significa solo che il dispositivo è stato dichiarato non meno sicuro, né meno efficace di uno </w:t>
      </w:r>
      <w:r w:rsidR="006A6766" w:rsidRPr="00481159">
        <w:rPr>
          <w:rFonts w:asciiTheme="majorHAnsi" w:eastAsia="OTNEJMQuadraat" w:hAnsiTheme="majorHAnsi" w:cs="OTNEJMQuadraat"/>
          <w:color w:val="1F497D" w:themeColor="text2"/>
          <w:sz w:val="32"/>
          <w:szCs w:val="24"/>
        </w:rPr>
        <w:t>di riferimento</w:t>
      </w:r>
      <w:r w:rsidRPr="00481159">
        <w:rPr>
          <w:rFonts w:asciiTheme="majorHAnsi" w:eastAsia="OTNEJMQuadraat" w:hAnsiTheme="majorHAnsi" w:cs="OTNEJMQuadraat"/>
          <w:color w:val="1F497D" w:themeColor="text2"/>
          <w:sz w:val="32"/>
          <w:szCs w:val="24"/>
        </w:rPr>
        <w:t>. Anche dispositivi volontariamente richi</w:t>
      </w:r>
      <w:r w:rsidR="006A6766" w:rsidRPr="00481159">
        <w:rPr>
          <w:rFonts w:asciiTheme="majorHAnsi" w:eastAsia="OTNEJMQuadraat" w:hAnsiTheme="majorHAnsi" w:cs="OTNEJMQuadraat"/>
          <w:color w:val="1F497D" w:themeColor="text2"/>
          <w:sz w:val="32"/>
          <w:szCs w:val="24"/>
        </w:rPr>
        <w:t>amati possono servire da riferimen</w:t>
      </w:r>
      <w:r w:rsidRPr="00481159">
        <w:rPr>
          <w:rFonts w:asciiTheme="majorHAnsi" w:eastAsia="OTNEJMQuadraat" w:hAnsiTheme="majorHAnsi" w:cs="OTNEJMQuadraat"/>
          <w:color w:val="1F497D" w:themeColor="text2"/>
          <w:sz w:val="32"/>
          <w:szCs w:val="24"/>
        </w:rPr>
        <w:t>ti, finché la FDA non li rimuova formalmente dal mercato o una giuria non li trovi alterati o contraffatti.</w:t>
      </w:r>
    </w:p>
    <w:p w:rsidR="00DD5276" w:rsidRPr="00481159" w:rsidRDefault="00DD5276" w:rsidP="00DD5276">
      <w:pPr>
        <w:autoSpaceDE w:val="0"/>
        <w:autoSpaceDN w:val="0"/>
        <w:adjustRightInd w:val="0"/>
        <w:spacing w:after="0" w:line="240" w:lineRule="auto"/>
        <w:contextualSpacing/>
        <w:mirrorIndents/>
        <w:rPr>
          <w:rFonts w:asciiTheme="majorHAnsi" w:eastAsia="OTNEJMQuadraat" w:hAnsiTheme="majorHAnsi" w:cs="OTNEJMQuadraat"/>
          <w:color w:val="1F497D" w:themeColor="text2"/>
          <w:sz w:val="32"/>
          <w:szCs w:val="24"/>
        </w:rPr>
      </w:pPr>
      <w:r w:rsidRPr="00481159">
        <w:rPr>
          <w:rFonts w:asciiTheme="majorHAnsi" w:eastAsia="OTNEJMQuadraat" w:hAnsiTheme="majorHAnsi" w:cs="OTNEJMQuadraat"/>
          <w:color w:val="1F497D" w:themeColor="text2"/>
          <w:sz w:val="32"/>
          <w:szCs w:val="24"/>
        </w:rPr>
        <w:t>Un tipo prominente di dispo</w:t>
      </w:r>
      <w:r w:rsidR="006A6766" w:rsidRPr="00481159">
        <w:rPr>
          <w:rFonts w:asciiTheme="majorHAnsi" w:eastAsia="OTNEJMQuadraat" w:hAnsiTheme="majorHAnsi" w:cs="OTNEJMQuadraat"/>
          <w:color w:val="1F497D" w:themeColor="text2"/>
          <w:sz w:val="32"/>
          <w:szCs w:val="24"/>
        </w:rPr>
        <w:t>sitivi di classe III che resta eligibile</w:t>
      </w:r>
      <w:r w:rsidRPr="00481159">
        <w:rPr>
          <w:rFonts w:asciiTheme="majorHAnsi" w:eastAsia="OTNEJMQuadraat" w:hAnsiTheme="majorHAnsi" w:cs="OTNEJMQuadraat"/>
          <w:color w:val="1F497D" w:themeColor="text2"/>
          <w:sz w:val="32"/>
          <w:szCs w:val="24"/>
        </w:rPr>
        <w:t xml:space="preserve"> per un’approvazione 510(k) sono le protesi d’anca metallo-metallo, come la DePuy ASR XL Acetabular Cup System, che ha ricevuto l’approvazione FDA nel luglio 2008 senza uno studio clinico. L’Australian Orthopaedic Association National Joint Replacement Registry inizialmente riportò nel settembre del 2008 che questo dispositivo richiedeva un controllo chirurgico su un’alta percentuale, e nel 2010 il National Joint Registry (NJR) for England and Wales riportò una percentuale di revisione a 5 anni di circa il 13%, che era quattro volte maggiore rispetto alla percentuale di revisione a 5 anni di tutte le altre protesi di anca combinate.</w:t>
      </w:r>
    </w:p>
    <w:p w:rsidR="00DD5276" w:rsidRPr="00481159" w:rsidRDefault="00DD5276" w:rsidP="00DD5276">
      <w:pPr>
        <w:autoSpaceDE w:val="0"/>
        <w:autoSpaceDN w:val="0"/>
        <w:adjustRightInd w:val="0"/>
        <w:spacing w:after="0" w:line="240" w:lineRule="auto"/>
        <w:contextualSpacing/>
        <w:mirrorIndents/>
        <w:rPr>
          <w:rFonts w:asciiTheme="majorHAnsi" w:eastAsia="OTNEJMQuadraat" w:hAnsiTheme="majorHAnsi" w:cs="OTNEJMQuadraat"/>
          <w:color w:val="1F497D" w:themeColor="text2"/>
          <w:sz w:val="32"/>
          <w:szCs w:val="24"/>
        </w:rPr>
      </w:pPr>
      <w:proofErr w:type="spellStart"/>
      <w:r w:rsidRPr="00481159">
        <w:rPr>
          <w:rFonts w:asciiTheme="majorHAnsi" w:eastAsia="OTNEJMQuadraat" w:hAnsiTheme="majorHAnsi" w:cs="OTNEJMQuadraat"/>
          <w:color w:val="1F497D" w:themeColor="text2"/>
          <w:sz w:val="32"/>
          <w:szCs w:val="24"/>
        </w:rPr>
        <w:t>DePuy</w:t>
      </w:r>
      <w:proofErr w:type="spellEnd"/>
      <w:r w:rsidRPr="00481159">
        <w:rPr>
          <w:rFonts w:asciiTheme="majorHAnsi" w:eastAsia="OTNEJMQuadraat" w:hAnsiTheme="majorHAnsi" w:cs="OTNEJMQuadraat"/>
          <w:color w:val="1F497D" w:themeColor="text2"/>
          <w:sz w:val="32"/>
          <w:szCs w:val="24"/>
        </w:rPr>
        <w:t xml:space="preserve"> volontariamente </w:t>
      </w:r>
      <w:r w:rsidR="00916B3A" w:rsidRPr="00481159">
        <w:rPr>
          <w:rFonts w:asciiTheme="majorHAnsi" w:eastAsia="OTNEJMQuadraat" w:hAnsiTheme="majorHAnsi" w:cs="OTNEJMQuadraat"/>
          <w:color w:val="1F497D" w:themeColor="text2"/>
          <w:sz w:val="32"/>
          <w:szCs w:val="24"/>
        </w:rPr>
        <w:t>ha ric</w:t>
      </w:r>
      <w:r w:rsidR="00481159">
        <w:rPr>
          <w:rFonts w:asciiTheme="majorHAnsi" w:eastAsia="OTNEJMQuadraat" w:hAnsiTheme="majorHAnsi" w:cs="OTNEJMQuadraat"/>
          <w:color w:val="1F497D" w:themeColor="text2"/>
          <w:sz w:val="32"/>
          <w:szCs w:val="24"/>
        </w:rPr>
        <w:t>hiamato (ritirato)</w:t>
      </w:r>
      <w:r w:rsidRPr="00481159">
        <w:rPr>
          <w:rFonts w:asciiTheme="majorHAnsi" w:eastAsia="OTNEJMQuadraat" w:hAnsiTheme="majorHAnsi" w:cs="OTNEJMQuadraat"/>
          <w:color w:val="1F497D" w:themeColor="text2"/>
          <w:sz w:val="32"/>
          <w:szCs w:val="24"/>
        </w:rPr>
        <w:t xml:space="preserve"> la ASR XL </w:t>
      </w:r>
      <w:r w:rsidR="009A027A" w:rsidRPr="00481159">
        <w:rPr>
          <w:rFonts w:asciiTheme="majorHAnsi" w:eastAsia="OTNEJMQuadraat" w:hAnsiTheme="majorHAnsi" w:cs="OTNEJMQuadraat"/>
          <w:color w:val="1F497D" w:themeColor="text2"/>
          <w:sz w:val="32"/>
          <w:szCs w:val="24"/>
        </w:rPr>
        <w:t xml:space="preserve">prima </w:t>
      </w:r>
      <w:r w:rsidRPr="00481159">
        <w:rPr>
          <w:rFonts w:asciiTheme="majorHAnsi" w:eastAsia="OTNEJMQuadraat" w:hAnsiTheme="majorHAnsi" w:cs="OTNEJMQuadraat"/>
          <w:color w:val="1F497D" w:themeColor="text2"/>
          <w:sz w:val="32"/>
          <w:szCs w:val="24"/>
        </w:rPr>
        <w:t>in Australia nel 2009, dando come motivazione una “d</w:t>
      </w:r>
      <w:r w:rsidR="00AF6F2B" w:rsidRPr="00481159">
        <w:rPr>
          <w:rFonts w:asciiTheme="majorHAnsi" w:eastAsia="OTNEJMQuadraat" w:hAnsiTheme="majorHAnsi" w:cs="OTNEJMQuadraat"/>
          <w:color w:val="1F497D" w:themeColor="text2"/>
          <w:sz w:val="32"/>
          <w:szCs w:val="24"/>
        </w:rPr>
        <w:t>iminuita richiesta”,</w:t>
      </w:r>
      <w:r w:rsidRPr="00481159">
        <w:rPr>
          <w:rFonts w:asciiTheme="majorHAnsi" w:eastAsia="OTNEJMQuadraat" w:hAnsiTheme="majorHAnsi" w:cs="OTNEJMQuadraat"/>
          <w:color w:val="1F497D" w:themeColor="text2"/>
          <w:sz w:val="32"/>
          <w:szCs w:val="24"/>
        </w:rPr>
        <w:t xml:space="preserve"> e poi nell’intero mondo nel 2010 a causa dell’alto tasso di revisione riportato dalla NJR. Usando i documenti della FDA ottenuti dal database dell’agenzia e dal Freedom of Information Office,</w:t>
      </w:r>
      <w:r w:rsidR="00916B3A" w:rsidRPr="00481159">
        <w:rPr>
          <w:rFonts w:asciiTheme="majorHAnsi" w:eastAsia="OTNEJMQuadraat" w:hAnsiTheme="majorHAnsi" w:cs="OTNEJMQuadraat"/>
          <w:color w:val="1F497D" w:themeColor="text2"/>
          <w:sz w:val="32"/>
          <w:szCs w:val="24"/>
        </w:rPr>
        <w:t xml:space="preserve"> abbiamo rintracciato</w:t>
      </w:r>
      <w:r w:rsidR="00003274">
        <w:rPr>
          <w:rFonts w:asciiTheme="majorHAnsi" w:eastAsia="OTNEJMQuadraat" w:hAnsiTheme="majorHAnsi" w:cs="OTNEJMQuadraat"/>
          <w:color w:val="1F497D" w:themeColor="text2"/>
          <w:sz w:val="32"/>
          <w:szCs w:val="24"/>
        </w:rPr>
        <w:t xml:space="preserve"> i prototipi che hanno portato alla </w:t>
      </w:r>
      <w:r w:rsidR="00916B3A" w:rsidRPr="00481159">
        <w:rPr>
          <w:rFonts w:asciiTheme="majorHAnsi" w:eastAsia="OTNEJMQuadraat" w:hAnsiTheme="majorHAnsi" w:cs="OTNEJMQuadraat"/>
          <w:color w:val="1F497D" w:themeColor="text2"/>
          <w:sz w:val="32"/>
          <w:szCs w:val="24"/>
        </w:rPr>
        <w:t xml:space="preserve">ASR XL </w:t>
      </w:r>
      <w:r w:rsidRPr="00481159">
        <w:rPr>
          <w:rFonts w:asciiTheme="majorHAnsi" w:eastAsia="OTNEJMQuadraat" w:hAnsiTheme="majorHAnsi" w:cs="OTNEJMQuadraat"/>
          <w:color w:val="1F497D" w:themeColor="text2"/>
          <w:sz w:val="32"/>
          <w:szCs w:val="24"/>
        </w:rPr>
        <w:t xml:space="preserve"> </w:t>
      </w:r>
      <w:r w:rsidR="00003274">
        <w:rPr>
          <w:rFonts w:asciiTheme="majorHAnsi" w:eastAsia="OTNEJMQuadraat" w:hAnsiTheme="majorHAnsi" w:cs="OTNEJMQuadraat"/>
          <w:color w:val="1F497D" w:themeColor="text2"/>
          <w:sz w:val="32"/>
          <w:szCs w:val="24"/>
        </w:rPr>
        <w:t xml:space="preserve">risalendo </w:t>
      </w:r>
      <w:r w:rsidRPr="00481159">
        <w:rPr>
          <w:rFonts w:asciiTheme="majorHAnsi" w:eastAsia="OTNEJMQuadraat" w:hAnsiTheme="majorHAnsi" w:cs="OTNEJMQuadraat"/>
          <w:color w:val="1F497D" w:themeColor="text2"/>
          <w:sz w:val="32"/>
          <w:szCs w:val="24"/>
        </w:rPr>
        <w:t>a più d</w:t>
      </w:r>
      <w:r w:rsidR="00916B3A" w:rsidRPr="00481159">
        <w:rPr>
          <w:rFonts w:asciiTheme="majorHAnsi" w:eastAsia="OTNEJMQuadraat" w:hAnsiTheme="majorHAnsi" w:cs="OTNEJMQuadraat"/>
          <w:color w:val="1F497D" w:themeColor="text2"/>
          <w:sz w:val="32"/>
          <w:szCs w:val="24"/>
        </w:rPr>
        <w:t>i cinque decenni fa, con</w:t>
      </w:r>
      <w:r w:rsidRPr="00481159">
        <w:rPr>
          <w:rFonts w:asciiTheme="majorHAnsi" w:eastAsia="OTNEJMQuadraat" w:hAnsiTheme="majorHAnsi" w:cs="OTNEJMQuadraat"/>
          <w:color w:val="1F497D" w:themeColor="text2"/>
          <w:sz w:val="32"/>
          <w:szCs w:val="24"/>
        </w:rPr>
        <w:t xml:space="preserve"> un totale di 95</w:t>
      </w:r>
      <w:r w:rsidR="00916B3A" w:rsidRPr="00481159">
        <w:rPr>
          <w:rFonts w:asciiTheme="majorHAnsi" w:eastAsia="OTNEJMQuadraat" w:hAnsiTheme="majorHAnsi" w:cs="OTNEJMQuadraat"/>
          <w:color w:val="1F497D" w:themeColor="text2"/>
          <w:sz w:val="32"/>
          <w:szCs w:val="24"/>
        </w:rPr>
        <w:t xml:space="preserve"> differenti dispositivi (tra cui steli femorali), di cui</w:t>
      </w:r>
      <w:r w:rsidR="0064409B" w:rsidRPr="00481159">
        <w:rPr>
          <w:rFonts w:asciiTheme="majorHAnsi" w:eastAsia="OTNEJMQuadraat" w:hAnsiTheme="majorHAnsi" w:cs="OTNEJMQuadraat"/>
          <w:color w:val="1F497D" w:themeColor="text2"/>
          <w:sz w:val="32"/>
          <w:szCs w:val="24"/>
        </w:rPr>
        <w:t xml:space="preserve"> 15</w:t>
      </w:r>
      <w:r w:rsidR="0024760F" w:rsidRPr="00481159">
        <w:rPr>
          <w:rFonts w:asciiTheme="majorHAnsi" w:eastAsia="OTNEJMQuadraat" w:hAnsiTheme="majorHAnsi" w:cs="OTNEJMQuadraat"/>
          <w:color w:val="1F497D" w:themeColor="text2"/>
          <w:sz w:val="32"/>
          <w:szCs w:val="24"/>
        </w:rPr>
        <w:t xml:space="preserve"> </w:t>
      </w:r>
      <w:r w:rsidRPr="00481159">
        <w:rPr>
          <w:rFonts w:asciiTheme="majorHAnsi" w:eastAsia="OTNEJMQuadraat" w:hAnsiTheme="majorHAnsi" w:cs="OTNEJMQuadraat"/>
          <w:color w:val="1F497D" w:themeColor="text2"/>
          <w:sz w:val="32"/>
          <w:szCs w:val="24"/>
        </w:rPr>
        <w:t>d</w:t>
      </w:r>
      <w:r w:rsidR="00916B3A" w:rsidRPr="00481159">
        <w:rPr>
          <w:rFonts w:asciiTheme="majorHAnsi" w:eastAsia="OTNEJMQuadraat" w:hAnsiTheme="majorHAnsi" w:cs="OTNEJMQuadraat"/>
          <w:color w:val="1F497D" w:themeColor="text2"/>
          <w:sz w:val="32"/>
          <w:szCs w:val="24"/>
        </w:rPr>
        <w:t>ifferenti teste femorali e manicotti</w:t>
      </w:r>
      <w:r w:rsidR="0064409B" w:rsidRPr="00481159">
        <w:rPr>
          <w:rFonts w:asciiTheme="majorHAnsi" w:eastAsia="OTNEJMQuadraat" w:hAnsiTheme="majorHAnsi" w:cs="OTNEJMQuadraat"/>
          <w:color w:val="1F497D" w:themeColor="text2"/>
          <w:sz w:val="32"/>
          <w:szCs w:val="24"/>
        </w:rPr>
        <w:t xml:space="preserve"> e 52</w:t>
      </w:r>
      <w:r w:rsidR="0024760F" w:rsidRPr="00481159">
        <w:rPr>
          <w:rFonts w:asciiTheme="majorHAnsi" w:eastAsia="OTNEJMQuadraat" w:hAnsiTheme="majorHAnsi" w:cs="OTNEJMQuadraat"/>
          <w:color w:val="1F497D" w:themeColor="text2"/>
          <w:sz w:val="32"/>
          <w:szCs w:val="24"/>
        </w:rPr>
        <w:t xml:space="preserve"> </w:t>
      </w:r>
      <w:r w:rsidRPr="00481159">
        <w:rPr>
          <w:rFonts w:asciiTheme="majorHAnsi" w:eastAsia="OTNEJMQuadraat" w:hAnsiTheme="majorHAnsi" w:cs="OTNEJMQuadraat"/>
          <w:color w:val="1F497D" w:themeColor="text2"/>
          <w:sz w:val="32"/>
          <w:szCs w:val="24"/>
        </w:rPr>
        <w:t>differenti componenti acetabolari (vedere la figura e il grafico interattivo, disponibile con il testo integrale di questo articolo su NEJM.org).</w:t>
      </w:r>
    </w:p>
    <w:p w:rsidR="00DD5276" w:rsidRPr="00481159" w:rsidRDefault="00DD5276" w:rsidP="00DD5276">
      <w:pPr>
        <w:autoSpaceDE w:val="0"/>
        <w:autoSpaceDN w:val="0"/>
        <w:adjustRightInd w:val="0"/>
        <w:spacing w:after="0" w:line="240" w:lineRule="auto"/>
        <w:contextualSpacing/>
        <w:mirrorIndents/>
        <w:rPr>
          <w:rFonts w:asciiTheme="majorHAnsi" w:eastAsia="OTNEJMQuadraat" w:hAnsiTheme="majorHAnsi" w:cs="OTNEJMQuadraat"/>
          <w:color w:val="1F497D" w:themeColor="text2"/>
          <w:sz w:val="32"/>
          <w:szCs w:val="24"/>
        </w:rPr>
      </w:pPr>
      <w:r w:rsidRPr="00481159">
        <w:rPr>
          <w:rFonts w:asciiTheme="majorHAnsi" w:eastAsia="OTNEJMQuadraat" w:hAnsiTheme="majorHAnsi" w:cs="OTNEJMQuadraat"/>
          <w:color w:val="1F497D" w:themeColor="text2"/>
          <w:sz w:val="32"/>
          <w:szCs w:val="24"/>
        </w:rPr>
        <w:t xml:space="preserve">L’approvazione 510(k) per la ASR XL si focalizzava su tre caratteristiche: la superfice di </w:t>
      </w:r>
      <w:r w:rsidR="00452FF0" w:rsidRPr="00481159">
        <w:rPr>
          <w:rFonts w:asciiTheme="majorHAnsi" w:eastAsia="OTNEJMQuadraat" w:hAnsiTheme="majorHAnsi" w:cs="OTNEJMQuadraat"/>
          <w:color w:val="1F497D" w:themeColor="text2"/>
          <w:sz w:val="32"/>
          <w:szCs w:val="24"/>
        </w:rPr>
        <w:t>crescita di osso poroso</w:t>
      </w:r>
      <w:r w:rsidRPr="00481159">
        <w:rPr>
          <w:rFonts w:asciiTheme="majorHAnsi" w:eastAsia="OTNEJMQuadraat" w:hAnsiTheme="majorHAnsi" w:cs="OTNEJMQuadraat"/>
          <w:color w:val="1F497D" w:themeColor="text2"/>
          <w:sz w:val="32"/>
          <w:szCs w:val="24"/>
        </w:rPr>
        <w:t>, l’articolazione metallo-metallo  e la larga misura della testa femorale (dai 57 ai 63 mm), che erano più larghe di quelle delle pro</w:t>
      </w:r>
      <w:r w:rsidR="00C16F22" w:rsidRPr="00481159">
        <w:rPr>
          <w:rFonts w:asciiTheme="majorHAnsi" w:eastAsia="OTNEJMQuadraat" w:hAnsiTheme="majorHAnsi" w:cs="OTNEJMQuadraat"/>
          <w:color w:val="1F497D" w:themeColor="text2"/>
          <w:sz w:val="32"/>
          <w:szCs w:val="24"/>
        </w:rPr>
        <w:t>tesi totali d’anca di riferimento</w:t>
      </w:r>
      <w:r w:rsidRPr="00481159">
        <w:rPr>
          <w:rFonts w:asciiTheme="majorHAnsi" w:eastAsia="OTNEJMQuadraat" w:hAnsiTheme="majorHAnsi" w:cs="OTNEJMQuadraat"/>
          <w:color w:val="1F497D" w:themeColor="text2"/>
          <w:sz w:val="32"/>
          <w:szCs w:val="24"/>
        </w:rPr>
        <w:t xml:space="preserve">. Queste tre caratteristiche erano combinate </w:t>
      </w:r>
      <w:r w:rsidR="00C16F22" w:rsidRPr="00481159">
        <w:rPr>
          <w:rFonts w:asciiTheme="majorHAnsi" w:eastAsia="OTNEJMQuadraat" w:hAnsiTheme="majorHAnsi" w:cs="OTNEJMQuadraat"/>
          <w:color w:val="1F497D" w:themeColor="text2"/>
          <w:sz w:val="32"/>
          <w:szCs w:val="24"/>
        </w:rPr>
        <w:t xml:space="preserve">in modo unico </w:t>
      </w:r>
      <w:r w:rsidRPr="00481159">
        <w:rPr>
          <w:rFonts w:asciiTheme="majorHAnsi" w:eastAsia="OTNEJMQuadraat" w:hAnsiTheme="majorHAnsi" w:cs="OTNEJMQuadraat"/>
          <w:color w:val="1F497D" w:themeColor="text2"/>
          <w:sz w:val="32"/>
          <w:szCs w:val="24"/>
        </w:rPr>
        <w:t>nella  ASR XL ma erano valutate per sostanziale equivalenza comparando caratteristiche sele</w:t>
      </w:r>
      <w:r w:rsidR="00C16F22" w:rsidRPr="00481159">
        <w:rPr>
          <w:rFonts w:asciiTheme="majorHAnsi" w:eastAsia="OTNEJMQuadraat" w:hAnsiTheme="majorHAnsi" w:cs="OTNEJMQuadraat"/>
          <w:color w:val="1F497D" w:themeColor="text2"/>
          <w:sz w:val="32"/>
          <w:szCs w:val="24"/>
        </w:rPr>
        <w:t>zionate a diversi dispositivi di riferimento</w:t>
      </w:r>
      <w:r w:rsidRPr="00481159">
        <w:rPr>
          <w:rFonts w:asciiTheme="majorHAnsi" w:eastAsia="OTNEJMQuadraat" w:hAnsiTheme="majorHAnsi" w:cs="OTNEJMQuadraat"/>
          <w:color w:val="1F497D" w:themeColor="text2"/>
          <w:sz w:val="32"/>
          <w:szCs w:val="24"/>
        </w:rPr>
        <w:t>, nessuno dei quali conteneva tutte queste caratteristiche (per esempio, erano “</w:t>
      </w:r>
      <w:r w:rsidR="00C16F22" w:rsidRPr="00481159">
        <w:rPr>
          <w:rFonts w:asciiTheme="majorHAnsi" w:eastAsia="OTNEJMQuadraat" w:hAnsiTheme="majorHAnsi" w:cs="OTNEJMQuadraat"/>
          <w:color w:val="1F497D" w:themeColor="text2"/>
          <w:sz w:val="32"/>
          <w:szCs w:val="24"/>
        </w:rPr>
        <w:t>tutori di riferimento</w:t>
      </w:r>
      <w:r w:rsidRPr="00481159">
        <w:rPr>
          <w:rFonts w:asciiTheme="majorHAnsi" w:eastAsia="OTNEJMQuadraat" w:hAnsiTheme="majorHAnsi" w:cs="OTNEJMQuadraat"/>
          <w:color w:val="1F497D" w:themeColor="text2"/>
          <w:sz w:val="32"/>
          <w:szCs w:val="24"/>
        </w:rPr>
        <w:t>”).</w:t>
      </w:r>
    </w:p>
    <w:p w:rsidR="00DD5276" w:rsidRPr="00481159" w:rsidRDefault="00DD5276" w:rsidP="00DD5276">
      <w:pPr>
        <w:autoSpaceDE w:val="0"/>
        <w:autoSpaceDN w:val="0"/>
        <w:adjustRightInd w:val="0"/>
        <w:spacing w:after="0" w:line="240" w:lineRule="auto"/>
        <w:contextualSpacing/>
        <w:mirrorIndents/>
        <w:rPr>
          <w:rFonts w:asciiTheme="majorHAnsi" w:eastAsia="OTNEJMQuadraat" w:hAnsiTheme="majorHAnsi" w:cs="OTNEJMQuadraat"/>
          <w:color w:val="1F497D" w:themeColor="text2"/>
          <w:sz w:val="32"/>
          <w:szCs w:val="24"/>
        </w:rPr>
      </w:pPr>
      <w:r w:rsidRPr="00481159">
        <w:rPr>
          <w:rFonts w:asciiTheme="majorHAnsi" w:eastAsia="OTNEJMQuadraat" w:hAnsiTheme="majorHAnsi" w:cs="OTNEJMQuadraat"/>
          <w:color w:val="1F497D" w:themeColor="text2"/>
          <w:sz w:val="32"/>
          <w:szCs w:val="24"/>
        </w:rPr>
        <w:t xml:space="preserve">La superficie di accrescimento di osso poroso non era specifica del tipo di articolazione; per cui, in molti casi, </w:t>
      </w:r>
      <w:r w:rsidR="00C16F22" w:rsidRPr="00481159">
        <w:rPr>
          <w:rFonts w:asciiTheme="majorHAnsi" w:eastAsia="OTNEJMQuadraat" w:hAnsiTheme="majorHAnsi" w:cs="OTNEJMQuadraat"/>
          <w:color w:val="1F497D" w:themeColor="text2"/>
          <w:sz w:val="32"/>
          <w:szCs w:val="24"/>
        </w:rPr>
        <w:t>i riferimenti</w:t>
      </w:r>
      <w:r w:rsidRPr="00481159">
        <w:rPr>
          <w:rFonts w:asciiTheme="majorHAnsi" w:eastAsia="OTNEJMQuadraat" w:hAnsiTheme="majorHAnsi" w:cs="OTNEJMQuadraat"/>
          <w:color w:val="1F497D" w:themeColor="text2"/>
          <w:sz w:val="32"/>
          <w:szCs w:val="24"/>
        </w:rPr>
        <w:t xml:space="preserve"> non erano metallo-metallo ed erano sostan</w:t>
      </w:r>
      <w:r w:rsidR="00C16F22" w:rsidRPr="00481159">
        <w:rPr>
          <w:rFonts w:asciiTheme="majorHAnsi" w:eastAsia="OTNEJMQuadraat" w:hAnsiTheme="majorHAnsi" w:cs="OTNEJMQuadraat"/>
          <w:color w:val="1F497D" w:themeColor="text2"/>
          <w:sz w:val="32"/>
          <w:szCs w:val="24"/>
        </w:rPr>
        <w:t>zialmente differenti nel design</w:t>
      </w:r>
      <w:r w:rsidRPr="00481159">
        <w:rPr>
          <w:rFonts w:asciiTheme="majorHAnsi" w:eastAsia="OTNEJMQuadraat" w:hAnsiTheme="majorHAnsi" w:cs="OTNEJMQuadraat"/>
          <w:color w:val="1F497D" w:themeColor="text2"/>
          <w:sz w:val="32"/>
          <w:szCs w:val="24"/>
        </w:rPr>
        <w:t xml:space="preserve"> rispetto</w:t>
      </w:r>
      <w:r w:rsidR="00C16F22" w:rsidRPr="00481159">
        <w:rPr>
          <w:rFonts w:asciiTheme="majorHAnsi" w:eastAsia="OTNEJMQuadraat" w:hAnsiTheme="majorHAnsi" w:cs="OTNEJMQuadraat"/>
          <w:color w:val="1F497D" w:themeColor="text2"/>
          <w:sz w:val="32"/>
          <w:szCs w:val="24"/>
        </w:rPr>
        <w:t xml:space="preserve"> alla ASR XL. Nessuno dei riferimenti de</w:t>
      </w:r>
      <w:r w:rsidR="00003274">
        <w:rPr>
          <w:rFonts w:asciiTheme="majorHAnsi" w:eastAsia="OTNEJMQuadraat" w:hAnsiTheme="majorHAnsi" w:cs="OTNEJMQuadraat"/>
          <w:color w:val="1F497D" w:themeColor="text2"/>
          <w:sz w:val="32"/>
          <w:szCs w:val="24"/>
        </w:rPr>
        <w:t xml:space="preserve">i prototipi precedenti </w:t>
      </w:r>
      <w:r w:rsidRPr="00481159">
        <w:rPr>
          <w:rFonts w:asciiTheme="majorHAnsi" w:eastAsia="OTNEJMQuadraat" w:hAnsiTheme="majorHAnsi" w:cs="OTNEJMQuadraat"/>
          <w:color w:val="1F497D" w:themeColor="text2"/>
          <w:sz w:val="32"/>
          <w:szCs w:val="24"/>
        </w:rPr>
        <w:t>aveva la stessa combinazione di caratteristiche  come la componen</w:t>
      </w:r>
      <w:r w:rsidR="00C16F22" w:rsidRPr="00481159">
        <w:rPr>
          <w:rFonts w:asciiTheme="majorHAnsi" w:eastAsia="OTNEJMQuadraat" w:hAnsiTheme="majorHAnsi" w:cs="OTNEJMQuadraat"/>
          <w:color w:val="1F497D" w:themeColor="text2"/>
          <w:sz w:val="32"/>
          <w:szCs w:val="24"/>
        </w:rPr>
        <w:t>te acetabolare  ASR XL. L’autorizz</w:t>
      </w:r>
      <w:r w:rsidRPr="00481159">
        <w:rPr>
          <w:rFonts w:asciiTheme="majorHAnsi" w:eastAsia="OTNEJMQuadraat" w:hAnsiTheme="majorHAnsi" w:cs="OTNEJMQuadraat"/>
          <w:color w:val="1F497D" w:themeColor="text2"/>
          <w:sz w:val="32"/>
          <w:szCs w:val="24"/>
        </w:rPr>
        <w:t>azione della larga articolazione metallo-metallo era basata su un gruppo molto più piccolo</w:t>
      </w:r>
      <w:r w:rsidR="00C16F22" w:rsidRPr="00481159">
        <w:rPr>
          <w:rFonts w:asciiTheme="majorHAnsi" w:eastAsia="OTNEJMQuadraat" w:hAnsiTheme="majorHAnsi" w:cs="OTNEJMQuadraat"/>
          <w:color w:val="1F497D" w:themeColor="text2"/>
          <w:sz w:val="32"/>
          <w:szCs w:val="24"/>
        </w:rPr>
        <w:t xml:space="preserve"> di riferimen</w:t>
      </w:r>
      <w:r w:rsidRPr="00481159">
        <w:rPr>
          <w:rFonts w:asciiTheme="majorHAnsi" w:eastAsia="OTNEJMQuadraat" w:hAnsiTheme="majorHAnsi" w:cs="OTNEJMQuadraat"/>
          <w:color w:val="1F497D" w:themeColor="text2"/>
          <w:sz w:val="32"/>
          <w:szCs w:val="24"/>
        </w:rPr>
        <w:t>ti, alcuni dei quali differi</w:t>
      </w:r>
      <w:r w:rsidR="00C16F22" w:rsidRPr="00481159">
        <w:rPr>
          <w:rFonts w:asciiTheme="majorHAnsi" w:eastAsia="OTNEJMQuadraat" w:hAnsiTheme="majorHAnsi" w:cs="OTNEJMQuadraat"/>
          <w:color w:val="1F497D" w:themeColor="text2"/>
          <w:sz w:val="32"/>
          <w:szCs w:val="24"/>
        </w:rPr>
        <w:t>vano sostanzialmente nel design</w:t>
      </w:r>
      <w:r w:rsidRPr="00481159">
        <w:rPr>
          <w:rFonts w:asciiTheme="majorHAnsi" w:eastAsia="OTNEJMQuadraat" w:hAnsiTheme="majorHAnsi" w:cs="OTNEJMQuadraat"/>
          <w:color w:val="1F497D" w:themeColor="text2"/>
          <w:sz w:val="32"/>
          <w:szCs w:val="24"/>
        </w:rPr>
        <w:t xml:space="preserve"> dalla ASR XL o aveva</w:t>
      </w:r>
      <w:r w:rsidR="00754E1D" w:rsidRPr="00481159">
        <w:rPr>
          <w:rFonts w:asciiTheme="majorHAnsi" w:eastAsia="OTNEJMQuadraat" w:hAnsiTheme="majorHAnsi" w:cs="OTNEJMQuadraat"/>
          <w:color w:val="1F497D" w:themeColor="text2"/>
          <w:sz w:val="32"/>
          <w:szCs w:val="24"/>
        </w:rPr>
        <w:t>no avuto</w:t>
      </w:r>
      <w:r w:rsidRPr="00481159">
        <w:rPr>
          <w:rFonts w:asciiTheme="majorHAnsi" w:eastAsia="OTNEJMQuadraat" w:hAnsiTheme="majorHAnsi" w:cs="OTNEJMQuadraat"/>
          <w:color w:val="1F497D" w:themeColor="text2"/>
          <w:sz w:val="32"/>
          <w:szCs w:val="24"/>
        </w:rPr>
        <w:t xml:space="preserve"> una scarsa performance clinica.</w:t>
      </w:r>
    </w:p>
    <w:p w:rsidR="009E55B6" w:rsidRPr="00481159" w:rsidRDefault="00754E1D" w:rsidP="009E55B6">
      <w:pPr>
        <w:autoSpaceDE w:val="0"/>
        <w:autoSpaceDN w:val="0"/>
        <w:adjustRightInd w:val="0"/>
        <w:spacing w:after="0" w:line="240" w:lineRule="auto"/>
        <w:contextualSpacing/>
        <w:mirrorIndents/>
        <w:rPr>
          <w:rFonts w:asciiTheme="majorHAnsi" w:eastAsia="OTNEJMQuadraat" w:hAnsiTheme="majorHAnsi" w:cs="OTNEJMQuadraat"/>
          <w:color w:val="1F497D" w:themeColor="text2"/>
          <w:sz w:val="32"/>
          <w:szCs w:val="24"/>
        </w:rPr>
      </w:pPr>
      <w:r w:rsidRPr="00481159">
        <w:rPr>
          <w:rFonts w:asciiTheme="majorHAnsi" w:eastAsia="OTNEJMQuadraat" w:hAnsiTheme="majorHAnsi" w:cs="OTNEJMQuadraat"/>
          <w:color w:val="1F497D" w:themeColor="text2"/>
          <w:sz w:val="32"/>
          <w:szCs w:val="24"/>
        </w:rPr>
        <w:t>In ultima analisi</w:t>
      </w:r>
      <w:r w:rsidR="009E55B6" w:rsidRPr="00481159">
        <w:rPr>
          <w:rFonts w:asciiTheme="majorHAnsi" w:eastAsia="OTNEJMQuadraat" w:hAnsiTheme="majorHAnsi" w:cs="OTNEJMQuadraat"/>
          <w:color w:val="1F497D" w:themeColor="text2"/>
          <w:sz w:val="32"/>
          <w:szCs w:val="24"/>
        </w:rPr>
        <w:t xml:space="preserve">, </w:t>
      </w:r>
      <w:r w:rsidR="001D7365" w:rsidRPr="00481159">
        <w:rPr>
          <w:rFonts w:asciiTheme="majorHAnsi" w:eastAsia="OTNEJMQuadraat" w:hAnsiTheme="majorHAnsi" w:cs="OTNEJMQuadraat"/>
          <w:color w:val="1F497D" w:themeColor="text2"/>
          <w:sz w:val="32"/>
          <w:szCs w:val="24"/>
        </w:rPr>
        <w:t>l’approvazione</w:t>
      </w:r>
      <w:r w:rsidRPr="00481159">
        <w:rPr>
          <w:rFonts w:asciiTheme="majorHAnsi" w:eastAsia="OTNEJMQuadraat" w:hAnsiTheme="majorHAnsi" w:cs="OTNEJMQuadraat"/>
          <w:color w:val="1F497D" w:themeColor="text2"/>
          <w:sz w:val="32"/>
          <w:szCs w:val="24"/>
        </w:rPr>
        <w:t xml:space="preserve"> si è basata sul presupposto che questi dispositivi di riferimento erano sostanzialmente equivalenti a tre protesi che sono state utilizzate prima del 1976:</w:t>
      </w:r>
      <w:r w:rsidR="009E55B6" w:rsidRPr="00481159">
        <w:rPr>
          <w:rFonts w:asciiTheme="majorHAnsi" w:eastAsia="OTNEJMQuadraat" w:hAnsiTheme="majorHAnsi" w:cs="OTNEJMQuadraat"/>
          <w:color w:val="1F497D" w:themeColor="text2"/>
          <w:sz w:val="32"/>
          <w:szCs w:val="24"/>
        </w:rPr>
        <w:t>le protesi totali d’anca metallo-metallo McKee-Farrar, Ring e Sivash. È importante notare che questi tre dispositi</w:t>
      </w:r>
      <w:r w:rsidRPr="00481159">
        <w:rPr>
          <w:rFonts w:asciiTheme="majorHAnsi" w:eastAsia="OTNEJMQuadraat" w:hAnsiTheme="majorHAnsi" w:cs="OTNEJMQuadraat"/>
          <w:color w:val="1F497D" w:themeColor="text2"/>
          <w:sz w:val="32"/>
          <w:szCs w:val="24"/>
        </w:rPr>
        <w:t>vi sono stati sospesi</w:t>
      </w:r>
      <w:r w:rsidR="00C05022" w:rsidRPr="00481159">
        <w:rPr>
          <w:rFonts w:asciiTheme="majorHAnsi" w:eastAsia="OTNEJMQuadraat" w:hAnsiTheme="majorHAnsi" w:cs="OTNEJMQuadraat"/>
          <w:color w:val="1F497D" w:themeColor="text2"/>
          <w:sz w:val="32"/>
          <w:szCs w:val="24"/>
        </w:rPr>
        <w:t xml:space="preserve"> tempo fa (</w:t>
      </w:r>
      <w:r w:rsidR="00452FF0" w:rsidRPr="00481159">
        <w:rPr>
          <w:rFonts w:asciiTheme="majorHAnsi" w:eastAsia="OTNEJMQuadraat" w:hAnsiTheme="majorHAnsi" w:cs="OTNEJMQuadraat"/>
          <w:color w:val="1F497D" w:themeColor="text2"/>
          <w:sz w:val="32"/>
          <w:szCs w:val="24"/>
        </w:rPr>
        <w:t>e ben</w:t>
      </w:r>
      <w:r w:rsidR="009E55B6" w:rsidRPr="00481159">
        <w:rPr>
          <w:rFonts w:asciiTheme="majorHAnsi" w:eastAsia="OTNEJMQuadraat" w:hAnsiTheme="majorHAnsi" w:cs="OTNEJMQuadraat"/>
          <w:color w:val="1F497D" w:themeColor="text2"/>
          <w:sz w:val="32"/>
          <w:szCs w:val="24"/>
        </w:rPr>
        <w:t xml:space="preserve"> prima dell’approvazione della ASR XL) perché il loro rischio di r</w:t>
      </w:r>
      <w:r w:rsidRPr="00481159">
        <w:rPr>
          <w:rFonts w:asciiTheme="majorHAnsi" w:eastAsia="OTNEJMQuadraat" w:hAnsiTheme="majorHAnsi" w:cs="OTNEJMQuadraat"/>
          <w:color w:val="1F497D" w:themeColor="text2"/>
          <w:sz w:val="32"/>
          <w:szCs w:val="24"/>
        </w:rPr>
        <w:t>evisione era molto superiore a quello di altre protesi d’anca.3, 4</w:t>
      </w:r>
    </w:p>
    <w:p w:rsidR="00871305" w:rsidRPr="00481159" w:rsidRDefault="00871305" w:rsidP="00871305">
      <w:pPr>
        <w:autoSpaceDE w:val="0"/>
        <w:autoSpaceDN w:val="0"/>
        <w:adjustRightInd w:val="0"/>
        <w:spacing w:after="0" w:line="240" w:lineRule="auto"/>
        <w:contextualSpacing/>
        <w:mirrorIndents/>
        <w:rPr>
          <w:rFonts w:asciiTheme="majorHAnsi" w:eastAsia="OTNEJMQuadraat" w:hAnsiTheme="majorHAnsi" w:cs="OTNEJMQuadraat"/>
          <w:color w:val="1F497D" w:themeColor="text2"/>
          <w:sz w:val="32"/>
          <w:szCs w:val="24"/>
        </w:rPr>
      </w:pPr>
      <w:r w:rsidRPr="00481159">
        <w:rPr>
          <w:rFonts w:asciiTheme="majorHAnsi" w:eastAsia="OTNEJMQuadraat" w:hAnsiTheme="majorHAnsi" w:cs="OTNEJMQuadraat"/>
          <w:color w:val="1F497D" w:themeColor="text2"/>
          <w:sz w:val="32"/>
          <w:szCs w:val="24"/>
        </w:rPr>
        <w:t>Una protesi d’anca</w:t>
      </w:r>
      <w:r w:rsidR="00C36C80" w:rsidRPr="00481159">
        <w:rPr>
          <w:rFonts w:asciiTheme="majorHAnsi" w:eastAsia="OTNEJMQuadraat" w:hAnsiTheme="majorHAnsi" w:cs="OTNEJMQuadraat"/>
          <w:color w:val="1F497D" w:themeColor="text2"/>
          <w:sz w:val="32"/>
          <w:szCs w:val="24"/>
        </w:rPr>
        <w:t xml:space="preserve"> metallo-metallo in uso al momento della richiesta</w:t>
      </w:r>
      <w:r w:rsidRPr="00481159">
        <w:rPr>
          <w:rFonts w:asciiTheme="majorHAnsi" w:eastAsia="OTNEJMQuadraat" w:hAnsiTheme="majorHAnsi" w:cs="OTNEJMQuadraat"/>
          <w:color w:val="1F497D" w:themeColor="text2"/>
          <w:sz w:val="32"/>
          <w:szCs w:val="24"/>
        </w:rPr>
        <w:t xml:space="preserve"> e il cui uso era ben supportato dall’evidenza clinica era l’origina</w:t>
      </w:r>
      <w:r w:rsidR="00C36C80" w:rsidRPr="00481159">
        <w:rPr>
          <w:rFonts w:asciiTheme="majorHAnsi" w:eastAsia="OTNEJMQuadraat" w:hAnsiTheme="majorHAnsi" w:cs="OTNEJMQuadraat"/>
          <w:color w:val="1F497D" w:themeColor="text2"/>
          <w:sz w:val="32"/>
          <w:szCs w:val="24"/>
        </w:rPr>
        <w:t>le anca Metasul. Tuttavia</w:t>
      </w:r>
      <w:r w:rsidRPr="00481159">
        <w:rPr>
          <w:rFonts w:asciiTheme="majorHAnsi" w:eastAsia="OTNEJMQuadraat" w:hAnsiTheme="majorHAnsi" w:cs="OTNEJMQuadraat"/>
          <w:color w:val="1F497D" w:themeColor="text2"/>
          <w:sz w:val="32"/>
          <w:szCs w:val="24"/>
        </w:rPr>
        <w:t>, questa protesi d’anca di</w:t>
      </w:r>
      <w:r w:rsidR="00C36C80" w:rsidRPr="00481159">
        <w:rPr>
          <w:rFonts w:asciiTheme="majorHAnsi" w:eastAsia="OTNEJMQuadraat" w:hAnsiTheme="majorHAnsi" w:cs="OTNEJMQuadraat"/>
          <w:color w:val="1F497D" w:themeColor="text2"/>
          <w:sz w:val="32"/>
          <w:szCs w:val="24"/>
        </w:rPr>
        <w:t>fferiva sostanzialmente nel design</w:t>
      </w:r>
      <w:r w:rsidRPr="00481159">
        <w:rPr>
          <w:rFonts w:asciiTheme="majorHAnsi" w:eastAsia="OTNEJMQuadraat" w:hAnsiTheme="majorHAnsi" w:cs="OTNEJMQuadraat"/>
          <w:color w:val="1F497D" w:themeColor="text2"/>
          <w:sz w:val="32"/>
          <w:szCs w:val="24"/>
        </w:rPr>
        <w:t xml:space="preserve"> rispetto alla ASR XL in due grossi modi. La coppa non era di solido metallo, ma invece consisteva di un guscio di metallo e una superficie articolare di metallo con uno strato di polietilene “a sandwich” tra le due. Una seconda differenza era la misura della testa: la Metasul aveva teste molto più piccole (≤32 mm) rispetto alla ASR XL.</w:t>
      </w:r>
    </w:p>
    <w:p w:rsidR="006B4837" w:rsidRPr="00481159" w:rsidRDefault="00871305" w:rsidP="00871305">
      <w:pPr>
        <w:autoSpaceDE w:val="0"/>
        <w:autoSpaceDN w:val="0"/>
        <w:adjustRightInd w:val="0"/>
        <w:spacing w:after="0" w:line="240" w:lineRule="auto"/>
        <w:contextualSpacing/>
        <w:mirrorIndents/>
        <w:rPr>
          <w:rFonts w:asciiTheme="majorHAnsi" w:hAnsiTheme="majorHAnsi" w:cs="OTNEJMQuadraatSmallCap"/>
          <w:color w:val="1F497D" w:themeColor="text2"/>
          <w:sz w:val="32"/>
          <w:szCs w:val="24"/>
        </w:rPr>
      </w:pPr>
      <w:r w:rsidRPr="00481159">
        <w:rPr>
          <w:rFonts w:asciiTheme="majorHAnsi" w:hAnsiTheme="majorHAnsi" w:cs="OTNEJMQuadraatSmallCap"/>
          <w:color w:val="1F497D" w:themeColor="text2"/>
          <w:sz w:val="32"/>
          <w:szCs w:val="24"/>
        </w:rPr>
        <w:t>L’uso di teste più larghe era una caratteristica importante della ASR XL. L’approvazione per le</w:t>
      </w:r>
      <w:r w:rsidR="00C36C80" w:rsidRPr="00481159">
        <w:rPr>
          <w:rFonts w:asciiTheme="majorHAnsi" w:hAnsiTheme="majorHAnsi" w:cs="OTNEJMQuadraatSmallCap"/>
          <w:color w:val="1F497D" w:themeColor="text2"/>
          <w:sz w:val="32"/>
          <w:szCs w:val="24"/>
        </w:rPr>
        <w:t xml:space="preserve"> teste di metallo larghe con manicotti era basato in parte su riferimen</w:t>
      </w:r>
      <w:r w:rsidRPr="00481159">
        <w:rPr>
          <w:rFonts w:asciiTheme="majorHAnsi" w:hAnsiTheme="majorHAnsi" w:cs="OTNEJMQuadraatSmallCap"/>
          <w:color w:val="1F497D" w:themeColor="text2"/>
          <w:sz w:val="32"/>
          <w:szCs w:val="24"/>
        </w:rPr>
        <w:t xml:space="preserve">ti che non erano usati nella sostituzione totale di anca, ma erano designati all’uso di sostituzioni parziali di anca, in cui le teste larghe di metallo si articolavano con la cartilagine articolare naturale dell’acetabolo, non con una coppa metallica. </w:t>
      </w:r>
    </w:p>
    <w:p w:rsidR="00006A6E" w:rsidRPr="00481159" w:rsidRDefault="00003274" w:rsidP="00006A6E">
      <w:pPr>
        <w:autoSpaceDE w:val="0"/>
        <w:autoSpaceDN w:val="0"/>
        <w:adjustRightInd w:val="0"/>
        <w:spacing w:after="0" w:line="240" w:lineRule="auto"/>
        <w:contextualSpacing/>
        <w:mirrorIndents/>
        <w:rPr>
          <w:rFonts w:asciiTheme="majorHAnsi" w:hAnsiTheme="majorHAnsi" w:cs="OTNEJMQuadraatSmallCap"/>
          <w:color w:val="1F497D" w:themeColor="text2"/>
          <w:sz w:val="32"/>
          <w:szCs w:val="24"/>
        </w:rPr>
      </w:pPr>
      <w:r>
        <w:rPr>
          <w:rFonts w:asciiTheme="majorHAnsi" w:hAnsiTheme="majorHAnsi" w:cs="OTNEJMQuadraatSmallCap"/>
          <w:color w:val="1F497D" w:themeColor="text2"/>
          <w:sz w:val="32"/>
          <w:szCs w:val="24"/>
        </w:rPr>
        <w:t>Questo modello</w:t>
      </w:r>
      <w:r w:rsidR="00006A6E" w:rsidRPr="00481159">
        <w:rPr>
          <w:rFonts w:asciiTheme="majorHAnsi" w:hAnsiTheme="majorHAnsi" w:cs="OTNEJMQuadraatSmallCap"/>
          <w:color w:val="1F497D" w:themeColor="text2"/>
          <w:sz w:val="32"/>
          <w:szCs w:val="24"/>
        </w:rPr>
        <w:t xml:space="preserve"> rivela serie pecche nella procedura 510(k) per le anche metallo-metallo, che portavano in gioco un nuovo dispositivo che non è mai stato dimostrato essere sicuro ed efficace. Un trial clinico </w:t>
      </w:r>
      <w:r w:rsidR="001D7365" w:rsidRPr="00481159">
        <w:rPr>
          <w:rFonts w:asciiTheme="majorHAnsi" w:hAnsiTheme="majorHAnsi" w:cs="OTNEJMQuadraatSmallCap"/>
          <w:color w:val="1F497D" w:themeColor="text2"/>
          <w:sz w:val="32"/>
          <w:szCs w:val="24"/>
        </w:rPr>
        <w:t>avrebbe potuto identificare</w:t>
      </w:r>
      <w:r w:rsidR="00006A6E" w:rsidRPr="00481159">
        <w:rPr>
          <w:rFonts w:asciiTheme="majorHAnsi" w:hAnsiTheme="majorHAnsi" w:cs="OTNEJMQuadraatSmallCap"/>
          <w:color w:val="1F497D" w:themeColor="text2"/>
          <w:sz w:val="32"/>
          <w:szCs w:val="24"/>
        </w:rPr>
        <w:t xml:space="preserve"> l’alto tasso di revisione dell’ASR, che è diventata evidente dopo 9 mesi quando è stato comparato con tutte le altre protesi totali di anca convenzionali nell’ Australian Joint Registry (hazard ratio dai 9 mesi a 1 anno, appaiato per età e sesso, 2.62 [intervallo di confidenza 95%, 1.67 a 4.11]) e che precipitosamente peggiorava nel tempo.5</w:t>
      </w:r>
    </w:p>
    <w:p w:rsidR="00006A6E" w:rsidRPr="00481159" w:rsidRDefault="00006A6E" w:rsidP="00871305">
      <w:pPr>
        <w:autoSpaceDE w:val="0"/>
        <w:autoSpaceDN w:val="0"/>
        <w:adjustRightInd w:val="0"/>
        <w:spacing w:after="0" w:line="240" w:lineRule="auto"/>
        <w:contextualSpacing/>
        <w:mirrorIndents/>
        <w:rPr>
          <w:rFonts w:asciiTheme="majorHAnsi" w:hAnsiTheme="majorHAnsi" w:cs="OTNEJMQuadraatSmallCap"/>
          <w:color w:val="1F497D" w:themeColor="text2"/>
          <w:sz w:val="32"/>
          <w:szCs w:val="24"/>
        </w:rPr>
      </w:pPr>
      <w:r w:rsidRPr="00481159">
        <w:rPr>
          <w:rFonts w:asciiTheme="majorHAnsi" w:hAnsiTheme="majorHAnsi" w:cs="OTNEJMQuadraatSmallCap"/>
          <w:color w:val="1F497D" w:themeColor="text2"/>
          <w:sz w:val="32"/>
          <w:szCs w:val="24"/>
        </w:rPr>
        <w:t>Come centinaia di Americani stanno dolorosamente imparando, ci sono rischi sconosciuti con dispositivi che vengono messi in commercio senza dati clinici che mostrino sicurezza ed efficacia e parti del corpo impiantate non possono essere richiamate così facilmente come ricambi difettosi in un auto. Il recentemente approvato Medical Device User Fee and Modernization Act contiene un provvedimento che dovrebbe rendere più semplice alla FDA ovviare alla falla per i rimanenti 19 dispositivi di classe III permettendo all’agenzia di riclassificarli con ordine piuttosto che attraverso una regolamentazione. Ci sarebbe un valore in un registro sanzionato dalla FDA.</w:t>
      </w:r>
    </w:p>
    <w:p w:rsidR="00C24763" w:rsidRPr="00481159" w:rsidRDefault="00C24763" w:rsidP="00871305">
      <w:pPr>
        <w:autoSpaceDE w:val="0"/>
        <w:autoSpaceDN w:val="0"/>
        <w:adjustRightInd w:val="0"/>
        <w:spacing w:after="0" w:line="240" w:lineRule="auto"/>
        <w:contextualSpacing/>
        <w:mirrorIndents/>
        <w:rPr>
          <w:rFonts w:asciiTheme="majorHAnsi" w:hAnsiTheme="majorHAnsi" w:cs="OTNEJMQuadraatSmallCap"/>
          <w:color w:val="1F497D" w:themeColor="text2"/>
          <w:sz w:val="32"/>
          <w:szCs w:val="24"/>
        </w:rPr>
      </w:pPr>
    </w:p>
    <w:p w:rsidR="00C24763" w:rsidRPr="00481159" w:rsidRDefault="00C24763" w:rsidP="00871305">
      <w:pPr>
        <w:autoSpaceDE w:val="0"/>
        <w:autoSpaceDN w:val="0"/>
        <w:adjustRightInd w:val="0"/>
        <w:spacing w:after="0" w:line="240" w:lineRule="auto"/>
        <w:contextualSpacing/>
        <w:mirrorIndents/>
        <w:rPr>
          <w:rFonts w:asciiTheme="majorHAnsi" w:hAnsiTheme="majorHAnsi" w:cs="OTNEJMQuadraatSmallCap"/>
          <w:color w:val="1F497D" w:themeColor="text2"/>
          <w:sz w:val="32"/>
          <w:szCs w:val="24"/>
        </w:rPr>
      </w:pPr>
    </w:p>
    <w:p w:rsidR="00C24763" w:rsidRPr="00481159" w:rsidRDefault="003F61E7" w:rsidP="00871305">
      <w:pPr>
        <w:autoSpaceDE w:val="0"/>
        <w:autoSpaceDN w:val="0"/>
        <w:adjustRightInd w:val="0"/>
        <w:spacing w:after="0" w:line="240" w:lineRule="auto"/>
        <w:contextualSpacing/>
        <w:mirrorIndents/>
        <w:rPr>
          <w:rFonts w:asciiTheme="majorHAnsi" w:eastAsia="OTNEJMQuadraat" w:hAnsiTheme="majorHAnsi" w:cs="OTNEJMQuadraat"/>
          <w:color w:val="1F497D" w:themeColor="text2"/>
          <w:sz w:val="32"/>
          <w:szCs w:val="24"/>
        </w:rPr>
      </w:pPr>
      <w:r w:rsidRPr="00481159">
        <w:rPr>
          <w:rFonts w:asciiTheme="majorHAnsi" w:eastAsia="OTNEJMQuadraat" w:hAnsiTheme="majorHAnsi" w:cs="OTNEJMQuadraat"/>
          <w:noProof/>
          <w:color w:val="1F497D" w:themeColor="text2"/>
          <w:sz w:val="32"/>
          <w:szCs w:val="24"/>
          <w:lang w:eastAsia="it-IT"/>
        </w:rPr>
        <w:drawing>
          <wp:inline distT="0" distB="0" distL="0" distR="0">
            <wp:extent cx="5694219" cy="718657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8277" cy="7191696"/>
                    </a:xfrm>
                    <a:prstGeom prst="rect">
                      <a:avLst/>
                    </a:prstGeom>
                    <a:noFill/>
                    <a:ln>
                      <a:noFill/>
                    </a:ln>
                  </pic:spPr>
                </pic:pic>
              </a:graphicData>
            </a:graphic>
          </wp:inline>
        </w:drawing>
      </w:r>
    </w:p>
    <w:p w:rsidR="00C05022" w:rsidRPr="00481159" w:rsidRDefault="00C05022" w:rsidP="00871305">
      <w:pPr>
        <w:autoSpaceDE w:val="0"/>
        <w:autoSpaceDN w:val="0"/>
        <w:adjustRightInd w:val="0"/>
        <w:spacing w:after="0" w:line="240" w:lineRule="auto"/>
        <w:contextualSpacing/>
        <w:mirrorIndents/>
        <w:rPr>
          <w:rFonts w:asciiTheme="majorHAnsi" w:eastAsia="OTNEJMQuadraat" w:hAnsiTheme="majorHAnsi" w:cs="OTNEJMQuadraat"/>
          <w:color w:val="1F497D" w:themeColor="text2"/>
          <w:sz w:val="32"/>
          <w:szCs w:val="24"/>
        </w:rPr>
      </w:pPr>
      <w:r w:rsidRPr="00481159">
        <w:rPr>
          <w:rFonts w:asciiTheme="majorHAnsi" w:eastAsia="OTNEJMQuadraat" w:hAnsiTheme="majorHAnsi" w:cs="OTNEJMQuadraat"/>
          <w:color w:val="1F497D" w:themeColor="text2"/>
          <w:sz w:val="32"/>
          <w:szCs w:val="24"/>
        </w:rPr>
        <w:t>RIASSUNTO</w:t>
      </w:r>
    </w:p>
    <w:p w:rsidR="00C05022" w:rsidRPr="00481159" w:rsidRDefault="00C05022" w:rsidP="00871305">
      <w:pPr>
        <w:autoSpaceDE w:val="0"/>
        <w:autoSpaceDN w:val="0"/>
        <w:adjustRightInd w:val="0"/>
        <w:spacing w:after="0" w:line="240" w:lineRule="auto"/>
        <w:contextualSpacing/>
        <w:mirrorIndents/>
        <w:rPr>
          <w:rFonts w:asciiTheme="majorHAnsi" w:eastAsia="OTNEJMQuadraat" w:hAnsiTheme="majorHAnsi" w:cs="OTNEJMQuadraat"/>
          <w:color w:val="1F497D" w:themeColor="text2"/>
          <w:sz w:val="32"/>
          <w:szCs w:val="24"/>
        </w:rPr>
      </w:pPr>
      <w:r w:rsidRPr="00481159">
        <w:rPr>
          <w:rFonts w:asciiTheme="majorHAnsi" w:eastAsia="OTNEJMQuadraat" w:hAnsiTheme="majorHAnsi" w:cs="OTNEJMQuadraat"/>
          <w:color w:val="1F497D" w:themeColor="text2"/>
          <w:sz w:val="32"/>
          <w:szCs w:val="24"/>
        </w:rPr>
        <w:t xml:space="preserve">Molti dispositivi medici che minano alla sicurezza dei pazienti ancora oggi vengono immessi in commercio attraverso un percorso normativo effettuato dalla Food and Drug Administration (FDA) che non è inteso a valutarne la sicurezza e l’efficacia. </w:t>
      </w:r>
      <w:r w:rsidR="006A6766" w:rsidRPr="00481159">
        <w:rPr>
          <w:rFonts w:asciiTheme="majorHAnsi" w:eastAsia="OTNEJMQuadraat" w:hAnsiTheme="majorHAnsi" w:cs="OTNEJMQuadraat"/>
          <w:color w:val="1F497D" w:themeColor="text2"/>
          <w:sz w:val="32"/>
          <w:szCs w:val="24"/>
        </w:rPr>
        <w:t xml:space="preserve">Questo percorso, </w:t>
      </w:r>
      <w:r w:rsidR="0024760F" w:rsidRPr="00481159">
        <w:rPr>
          <w:rFonts w:asciiTheme="majorHAnsi" w:eastAsia="OTNEJMQuadraat" w:hAnsiTheme="majorHAnsi" w:cs="OTNEJMQuadraat"/>
          <w:color w:val="1F497D" w:themeColor="text2"/>
          <w:sz w:val="32"/>
          <w:szCs w:val="24"/>
        </w:rPr>
        <w:t>il</w:t>
      </w:r>
      <w:r w:rsidR="006A6766" w:rsidRPr="00481159">
        <w:rPr>
          <w:rFonts w:asciiTheme="majorHAnsi" w:eastAsia="OTNEJMQuadraat" w:hAnsiTheme="majorHAnsi" w:cs="OTNEJMQuadraat"/>
          <w:color w:val="1F497D" w:themeColor="text2"/>
          <w:sz w:val="32"/>
          <w:szCs w:val="24"/>
        </w:rPr>
        <w:t xml:space="preserve"> processo 510(k),</w:t>
      </w:r>
      <w:r w:rsidR="0024760F" w:rsidRPr="00481159">
        <w:rPr>
          <w:rFonts w:asciiTheme="majorHAnsi" w:eastAsia="OTNEJMQuadraat" w:hAnsiTheme="majorHAnsi" w:cs="OTNEJMQuadraat"/>
          <w:color w:val="1F497D" w:themeColor="text2"/>
          <w:sz w:val="32"/>
          <w:szCs w:val="24"/>
        </w:rPr>
        <w:t xml:space="preserve"> effettua</w:t>
      </w:r>
      <w:r w:rsidR="006A6766" w:rsidRPr="00481159">
        <w:rPr>
          <w:rFonts w:asciiTheme="majorHAnsi" w:eastAsia="OTNEJMQuadraat" w:hAnsiTheme="majorHAnsi" w:cs="OTNEJMQuadraat"/>
          <w:color w:val="1F497D" w:themeColor="text2"/>
          <w:sz w:val="32"/>
          <w:szCs w:val="24"/>
        </w:rPr>
        <w:t xml:space="preserve"> una valutazione di “sostanziale equivalenza” rispetto a dispositivi precedentemente autorizzati, molti dei quali non sono mai stati valutati per sicurezza ed efficacia e alcuni dei quali non sono più in uso a causa della loro scarsa performance clinica.</w:t>
      </w:r>
    </w:p>
    <w:p w:rsidR="00871305" w:rsidRPr="00481159" w:rsidRDefault="00C05022" w:rsidP="00871305">
      <w:pPr>
        <w:autoSpaceDE w:val="0"/>
        <w:autoSpaceDN w:val="0"/>
        <w:adjustRightInd w:val="0"/>
        <w:spacing w:after="0" w:line="240" w:lineRule="auto"/>
        <w:contextualSpacing/>
        <w:mirrorIndents/>
        <w:rPr>
          <w:rFonts w:asciiTheme="majorHAnsi" w:eastAsia="OTNEJMQuadraat" w:hAnsiTheme="majorHAnsi" w:cs="OTNEJMQuadraat"/>
          <w:color w:val="1F497D" w:themeColor="text2"/>
          <w:sz w:val="32"/>
          <w:szCs w:val="24"/>
        </w:rPr>
      </w:pPr>
      <w:r w:rsidRPr="00481159">
        <w:rPr>
          <w:rFonts w:asciiTheme="majorHAnsi" w:eastAsia="OTNEJMQuadraat" w:hAnsiTheme="majorHAnsi" w:cs="OTNEJMQuadraat"/>
          <w:color w:val="1F497D" w:themeColor="text2"/>
          <w:sz w:val="32"/>
          <w:szCs w:val="24"/>
        </w:rPr>
        <w:t>Gli emendamenti sui dispositivi medici del 1976 crearono tre classi di dispositivi: la I classe includeva dispositivi a basso rischio, come gli spazzolini da denti; la II classe includeva dispositivi a rischio moderat</w:t>
      </w:r>
      <w:r w:rsidR="0024760F" w:rsidRPr="00481159">
        <w:rPr>
          <w:rFonts w:asciiTheme="majorHAnsi" w:eastAsia="OTNEJMQuadraat" w:hAnsiTheme="majorHAnsi" w:cs="OTNEJMQuadraat"/>
          <w:color w:val="1F497D" w:themeColor="text2"/>
          <w:sz w:val="32"/>
          <w:szCs w:val="24"/>
        </w:rPr>
        <w:t>o, come le pompe ad infusione;</w:t>
      </w:r>
      <w:r w:rsidRPr="00481159">
        <w:rPr>
          <w:rFonts w:asciiTheme="majorHAnsi" w:eastAsia="OTNEJMQuadraat" w:hAnsiTheme="majorHAnsi" w:cs="OTNEJMQuadraat"/>
          <w:color w:val="1F497D" w:themeColor="text2"/>
          <w:sz w:val="32"/>
          <w:szCs w:val="24"/>
        </w:rPr>
        <w:t xml:space="preserve"> la III classe includeva dispositivi ad alto rischio e quelli che erano in attesa di una classificazione corretta, come le protesi d’anca metallo-metallo. I dispositivi di classe I e II erano sottoposti a revisione per sostanziale equivalenza rispetto a dispositivi già esistenti in commercio</w:t>
      </w:r>
      <w:r w:rsidR="009A027A" w:rsidRPr="00481159">
        <w:rPr>
          <w:rFonts w:asciiTheme="majorHAnsi" w:eastAsia="OTNEJMQuadraat" w:hAnsiTheme="majorHAnsi" w:cs="OTNEJMQuadraat"/>
          <w:color w:val="1F497D" w:themeColor="text2"/>
          <w:sz w:val="32"/>
          <w:szCs w:val="24"/>
        </w:rPr>
        <w:t>. I dispositivi di classe III dovevano essere sottoposti a una più rigorosa approvazione pre-commercializzazione (PMA) che richiede dati clinici. Tuttavia, i dispositivi di classe III sono stati autorizzati a ricevere una temporanea recensione di sostanziale equivalenza, finché la FDA non li avesse classificati  o non avesse stipulato un regolamento che richiedesse una PMA. La promessa era stata che ciò si sarebbe ottenuto entro il 31 dicembre 20</w:t>
      </w:r>
      <w:r w:rsidR="006B4837" w:rsidRPr="00481159">
        <w:rPr>
          <w:rFonts w:asciiTheme="majorHAnsi" w:eastAsia="OTNEJMQuadraat" w:hAnsiTheme="majorHAnsi" w:cs="OTNEJMQuadraat"/>
          <w:color w:val="1F497D" w:themeColor="text2"/>
          <w:sz w:val="32"/>
          <w:szCs w:val="24"/>
        </w:rPr>
        <w:t>12. Invece, il 19 dicembre 2012</w:t>
      </w:r>
      <w:r w:rsidR="009A027A" w:rsidRPr="00481159">
        <w:rPr>
          <w:rFonts w:asciiTheme="majorHAnsi" w:eastAsia="OTNEJMQuadraat" w:hAnsiTheme="majorHAnsi" w:cs="OTNEJMQuadraat"/>
          <w:color w:val="1F497D" w:themeColor="text2"/>
          <w:sz w:val="32"/>
          <w:szCs w:val="24"/>
        </w:rPr>
        <w:t xml:space="preserve"> ancora 19 dispositivi erano in attesa di valutazione e classificazione.</w:t>
      </w:r>
      <w:r w:rsidR="0064409B" w:rsidRPr="00481159">
        <w:rPr>
          <w:rFonts w:asciiTheme="majorHAnsi" w:eastAsia="OTNEJMQuadraat" w:hAnsiTheme="majorHAnsi" w:cs="OTNEJMQuadraat"/>
          <w:color w:val="1F497D" w:themeColor="text2"/>
          <w:sz w:val="32"/>
          <w:szCs w:val="24"/>
        </w:rPr>
        <w:t xml:space="preserve"> </w:t>
      </w:r>
      <w:r w:rsidR="0064409B" w:rsidRPr="00481159">
        <w:rPr>
          <w:color w:val="1F497D" w:themeColor="text2"/>
          <w:sz w:val="28"/>
        </w:rPr>
        <w:t xml:space="preserve"> </w:t>
      </w:r>
      <w:r w:rsidR="0064409B" w:rsidRPr="00481159">
        <w:rPr>
          <w:rFonts w:asciiTheme="majorHAnsi" w:eastAsia="OTNEJMQuadraat" w:hAnsiTheme="majorHAnsi" w:cs="OTNEJMQuadraat"/>
          <w:color w:val="1F497D" w:themeColor="text2"/>
          <w:sz w:val="32"/>
          <w:szCs w:val="24"/>
        </w:rPr>
        <w:t>A causa di questa falla, le compagnie che commercializzano dispositivi di classe III sono spesso legalmente  in grado di ottenere approvazioni senza dimostrarne sicurezza ed efficacia attraverso studi clinici, ma semplicemente reclamando una sostanziale equivalenza rispetto a precedenti “dispositivi di  riferimento”- o pezzi di questi dispositivi- che potevano anche essere stati trovati a loro volta sostanzialmente equivalenti a dispositivi precedenti.</w:t>
      </w:r>
    </w:p>
    <w:p w:rsidR="009A027A" w:rsidRPr="00481159" w:rsidRDefault="009A027A" w:rsidP="00871305">
      <w:pPr>
        <w:autoSpaceDE w:val="0"/>
        <w:autoSpaceDN w:val="0"/>
        <w:adjustRightInd w:val="0"/>
        <w:spacing w:after="0" w:line="240" w:lineRule="auto"/>
        <w:contextualSpacing/>
        <w:mirrorIndents/>
        <w:rPr>
          <w:rFonts w:asciiTheme="majorHAnsi" w:eastAsia="OTNEJMQuadraat" w:hAnsiTheme="majorHAnsi" w:cs="OTNEJMQuadraat"/>
          <w:color w:val="1F497D" w:themeColor="text2"/>
          <w:sz w:val="32"/>
          <w:szCs w:val="24"/>
        </w:rPr>
      </w:pPr>
      <w:r w:rsidRPr="00481159">
        <w:rPr>
          <w:rFonts w:asciiTheme="majorHAnsi" w:eastAsia="OTNEJMQuadraat" w:hAnsiTheme="majorHAnsi" w:cs="OTNEJMQuadraat"/>
          <w:color w:val="1F497D" w:themeColor="text2"/>
          <w:sz w:val="32"/>
          <w:szCs w:val="24"/>
        </w:rPr>
        <w:t>Tra questi dispositivi c</w:t>
      </w:r>
      <w:r w:rsidR="00AF6F2B" w:rsidRPr="00481159">
        <w:rPr>
          <w:rFonts w:asciiTheme="majorHAnsi" w:eastAsia="OTNEJMQuadraat" w:hAnsiTheme="majorHAnsi" w:cs="OTNEJMQuadraat"/>
          <w:color w:val="1F497D" w:themeColor="text2"/>
          <w:sz w:val="32"/>
          <w:szCs w:val="24"/>
        </w:rPr>
        <w:t>i sono</w:t>
      </w:r>
      <w:r w:rsidRPr="00481159">
        <w:rPr>
          <w:rFonts w:asciiTheme="majorHAnsi" w:eastAsia="OTNEJMQuadraat" w:hAnsiTheme="majorHAnsi" w:cs="OTNEJMQuadraat"/>
          <w:color w:val="1F497D" w:themeColor="text2"/>
          <w:sz w:val="32"/>
          <w:szCs w:val="24"/>
        </w:rPr>
        <w:t xml:space="preserve"> anc</w:t>
      </w:r>
      <w:r w:rsidR="00AF6F2B" w:rsidRPr="00481159">
        <w:rPr>
          <w:rFonts w:asciiTheme="majorHAnsi" w:eastAsia="OTNEJMQuadraat" w:hAnsiTheme="majorHAnsi" w:cs="OTNEJMQuadraat"/>
          <w:color w:val="1F497D" w:themeColor="text2"/>
          <w:sz w:val="32"/>
          <w:szCs w:val="24"/>
        </w:rPr>
        <w:t>he le</w:t>
      </w:r>
      <w:r w:rsidRPr="00481159">
        <w:rPr>
          <w:rFonts w:asciiTheme="majorHAnsi" w:eastAsia="OTNEJMQuadraat" w:hAnsiTheme="majorHAnsi" w:cs="OTNEJMQuadraat"/>
          <w:color w:val="1F497D" w:themeColor="text2"/>
          <w:sz w:val="32"/>
          <w:szCs w:val="24"/>
        </w:rPr>
        <w:t xml:space="preserve"> protesi d’anca </w:t>
      </w:r>
      <w:r w:rsidR="00AF6F2B" w:rsidRPr="00481159">
        <w:rPr>
          <w:rFonts w:asciiTheme="majorHAnsi" w:eastAsia="OTNEJMQuadraat" w:hAnsiTheme="majorHAnsi" w:cs="OTNEJMQuadraat"/>
          <w:color w:val="1F497D" w:themeColor="text2"/>
          <w:sz w:val="32"/>
          <w:szCs w:val="24"/>
        </w:rPr>
        <w:t xml:space="preserve">metallo-metallo come la </w:t>
      </w:r>
      <w:r w:rsidRPr="00481159">
        <w:rPr>
          <w:rFonts w:asciiTheme="majorHAnsi" w:eastAsia="OTNEJMQuadraat" w:hAnsiTheme="majorHAnsi" w:cs="OTNEJMQuadraat"/>
          <w:color w:val="1F497D" w:themeColor="text2"/>
          <w:sz w:val="32"/>
          <w:szCs w:val="24"/>
        </w:rPr>
        <w:t>DePuy ASR XL</w:t>
      </w:r>
      <w:r w:rsidR="00AF6F2B" w:rsidRPr="00481159">
        <w:rPr>
          <w:rFonts w:asciiTheme="majorHAnsi" w:eastAsia="OTNEJMQuadraat" w:hAnsiTheme="majorHAnsi" w:cs="OTNEJMQuadraat"/>
          <w:color w:val="1F497D" w:themeColor="text2"/>
          <w:sz w:val="32"/>
          <w:szCs w:val="24"/>
        </w:rPr>
        <w:t xml:space="preserve"> Acetabular Cup System, che ha ricevuto l’approvazione FDA nel luglio 2008 senza uno studio clinico.</w:t>
      </w:r>
      <w:r w:rsidR="0024760F" w:rsidRPr="00481159">
        <w:rPr>
          <w:rFonts w:asciiTheme="majorHAnsi" w:eastAsia="OTNEJMQuadraat" w:hAnsiTheme="majorHAnsi" w:cs="OTNEJMQuadraat"/>
          <w:color w:val="1F497D" w:themeColor="text2"/>
          <w:sz w:val="32"/>
          <w:szCs w:val="24"/>
        </w:rPr>
        <w:t xml:space="preserve"> </w:t>
      </w:r>
      <w:r w:rsidR="00452FF0" w:rsidRPr="00481159">
        <w:rPr>
          <w:rFonts w:asciiTheme="majorHAnsi" w:eastAsia="OTNEJMQuadraat" w:hAnsiTheme="majorHAnsi" w:cs="OTNEJMQuadraat"/>
          <w:color w:val="1F497D" w:themeColor="text2"/>
          <w:sz w:val="32"/>
          <w:szCs w:val="24"/>
        </w:rPr>
        <w:t>Usando i documenti della FDA ottenuti dal database dell’agenzia e dal Freedom of Information Office, si è scoperto che, p</w:t>
      </w:r>
      <w:r w:rsidR="0024760F" w:rsidRPr="00481159">
        <w:rPr>
          <w:rFonts w:asciiTheme="majorHAnsi" w:eastAsia="OTNEJMQuadraat" w:hAnsiTheme="majorHAnsi" w:cs="OTNEJMQuadraat"/>
          <w:color w:val="1F497D" w:themeColor="text2"/>
          <w:sz w:val="32"/>
          <w:szCs w:val="24"/>
        </w:rPr>
        <w:t>er ottenere tale approvazione</w:t>
      </w:r>
      <w:r w:rsidR="00452FF0" w:rsidRPr="00481159">
        <w:rPr>
          <w:rFonts w:asciiTheme="majorHAnsi" w:eastAsia="OTNEJMQuadraat" w:hAnsiTheme="majorHAnsi" w:cs="OTNEJMQuadraat"/>
          <w:color w:val="1F497D" w:themeColor="text2"/>
          <w:sz w:val="32"/>
          <w:szCs w:val="24"/>
        </w:rPr>
        <w:t>,</w:t>
      </w:r>
      <w:r w:rsidR="0024760F" w:rsidRPr="00481159">
        <w:rPr>
          <w:rFonts w:asciiTheme="majorHAnsi" w:eastAsia="OTNEJMQuadraat" w:hAnsiTheme="majorHAnsi" w:cs="OTNEJMQuadraat"/>
          <w:color w:val="1F497D" w:themeColor="text2"/>
          <w:sz w:val="32"/>
          <w:szCs w:val="24"/>
        </w:rPr>
        <w:t xml:space="preserve"> furono richiamati come dispositivi di riferimento</w:t>
      </w:r>
      <w:r w:rsidR="0064409B" w:rsidRPr="00481159">
        <w:rPr>
          <w:rFonts w:asciiTheme="majorHAnsi" w:eastAsia="OTNEJMQuadraat" w:hAnsiTheme="majorHAnsi" w:cs="OTNEJMQuadraat"/>
          <w:color w:val="1F497D" w:themeColor="text2"/>
          <w:sz w:val="32"/>
          <w:szCs w:val="24"/>
        </w:rPr>
        <w:t xml:space="preserve"> delle protesi che risalivano a cinquant’anni prima.</w:t>
      </w:r>
      <w:r w:rsidR="00452FF0" w:rsidRPr="00481159">
        <w:rPr>
          <w:rFonts w:asciiTheme="majorHAnsi" w:eastAsia="OTNEJMQuadraat" w:hAnsiTheme="majorHAnsi" w:cs="OTNEJMQuadraat"/>
          <w:color w:val="1F497D" w:themeColor="text2"/>
          <w:sz w:val="32"/>
          <w:szCs w:val="24"/>
        </w:rPr>
        <w:t xml:space="preserve"> Le tre caratteristiche esaminate furono: superfice di crescita ossea periprotesica,</w:t>
      </w:r>
      <w:r w:rsidR="00452FF0" w:rsidRPr="00481159">
        <w:rPr>
          <w:color w:val="1F497D" w:themeColor="text2"/>
          <w:sz w:val="28"/>
        </w:rPr>
        <w:t xml:space="preserve"> </w:t>
      </w:r>
      <w:r w:rsidR="00452FF0" w:rsidRPr="00481159">
        <w:rPr>
          <w:rFonts w:asciiTheme="majorHAnsi" w:eastAsia="OTNEJMQuadraat" w:hAnsiTheme="majorHAnsi" w:cs="OTNEJMQuadraat"/>
          <w:color w:val="1F497D" w:themeColor="text2"/>
          <w:sz w:val="32"/>
          <w:szCs w:val="24"/>
        </w:rPr>
        <w:t>articolazione metallo-metallo e larga misura della testa femorale. In effetti, in nessuna delle protesi prese in esame erano presenti tutte e tre tali caratteristiche come nella DePuy ASR XL.</w:t>
      </w:r>
    </w:p>
    <w:p w:rsidR="00452FF0" w:rsidRPr="00481159" w:rsidRDefault="00452FF0" w:rsidP="00871305">
      <w:pPr>
        <w:autoSpaceDE w:val="0"/>
        <w:autoSpaceDN w:val="0"/>
        <w:adjustRightInd w:val="0"/>
        <w:spacing w:after="0" w:line="240" w:lineRule="auto"/>
        <w:contextualSpacing/>
        <w:mirrorIndents/>
        <w:rPr>
          <w:rFonts w:asciiTheme="majorHAnsi" w:hAnsiTheme="majorHAnsi" w:cs="OTNEJMQuadraatSmallCap"/>
          <w:color w:val="1F497D" w:themeColor="text2"/>
          <w:sz w:val="32"/>
          <w:szCs w:val="24"/>
        </w:rPr>
      </w:pPr>
      <w:r w:rsidRPr="00481159">
        <w:rPr>
          <w:rFonts w:asciiTheme="majorHAnsi" w:hAnsiTheme="majorHAnsi" w:cs="OTNEJMQuadraatSmallCap"/>
          <w:color w:val="1F497D" w:themeColor="text2"/>
          <w:sz w:val="32"/>
          <w:szCs w:val="24"/>
        </w:rPr>
        <w:t>Infine, l’approvazione si è basata sul presupposto che questi dispositivi di riferimento erano sostanzialmente equivalenti a tre protesi utilizzate prima del 1976:</w:t>
      </w:r>
      <w:r w:rsidR="00EA285F" w:rsidRPr="00481159">
        <w:rPr>
          <w:rFonts w:asciiTheme="majorHAnsi" w:hAnsiTheme="majorHAnsi" w:cs="OTNEJMQuadraatSmallCap"/>
          <w:color w:val="1F497D" w:themeColor="text2"/>
          <w:sz w:val="32"/>
          <w:szCs w:val="24"/>
        </w:rPr>
        <w:t xml:space="preserve"> </w:t>
      </w:r>
      <w:r w:rsidRPr="00481159">
        <w:rPr>
          <w:rFonts w:asciiTheme="majorHAnsi" w:hAnsiTheme="majorHAnsi" w:cs="OTNEJMQuadraatSmallCap"/>
          <w:color w:val="1F497D" w:themeColor="text2"/>
          <w:sz w:val="32"/>
          <w:szCs w:val="24"/>
        </w:rPr>
        <w:t>le protesi totali d’anca metallo-metallo McKee-Farrar, Ring e Sivash, sospesi tempo fa perché il loro rischio di revisione era molto superiore a quello di altre protesi d’anca.</w:t>
      </w:r>
    </w:p>
    <w:p w:rsidR="001D7365" w:rsidRPr="00481159" w:rsidRDefault="001D7365" w:rsidP="00871305">
      <w:pPr>
        <w:autoSpaceDE w:val="0"/>
        <w:autoSpaceDN w:val="0"/>
        <w:adjustRightInd w:val="0"/>
        <w:spacing w:after="0" w:line="240" w:lineRule="auto"/>
        <w:contextualSpacing/>
        <w:mirrorIndents/>
        <w:rPr>
          <w:rFonts w:asciiTheme="majorHAnsi" w:hAnsiTheme="majorHAnsi" w:cs="OTNEJMQuadraatSmallCap"/>
          <w:color w:val="1F497D" w:themeColor="text2"/>
          <w:sz w:val="32"/>
          <w:szCs w:val="24"/>
        </w:rPr>
      </w:pPr>
      <w:r w:rsidRPr="00481159">
        <w:rPr>
          <w:rFonts w:asciiTheme="majorHAnsi" w:hAnsiTheme="majorHAnsi" w:cs="OTNEJMQuadraatSmallCap"/>
          <w:color w:val="1F497D" w:themeColor="text2"/>
          <w:sz w:val="32"/>
          <w:szCs w:val="24"/>
        </w:rPr>
        <w:t>Una protesi in uso all’epoca dell’approvazione e supportata da trial clinici era la Metasul, che però differiva dalla DePuy ASR XL per due caratteristiche fondamentali: la coppa (metallo-polietilene-metallo) e la dimensione della testa (≤ 32mm rispetto a quella della ASR XL).</w:t>
      </w:r>
    </w:p>
    <w:p w:rsidR="001D7365" w:rsidRPr="00481159" w:rsidRDefault="00262548" w:rsidP="00871305">
      <w:pPr>
        <w:autoSpaceDE w:val="0"/>
        <w:autoSpaceDN w:val="0"/>
        <w:adjustRightInd w:val="0"/>
        <w:spacing w:after="0" w:line="240" w:lineRule="auto"/>
        <w:contextualSpacing/>
        <w:mirrorIndents/>
        <w:rPr>
          <w:rFonts w:asciiTheme="majorHAnsi" w:hAnsiTheme="majorHAnsi" w:cs="OTNEJMQuadraatSmallCap"/>
          <w:color w:val="1F497D" w:themeColor="text2"/>
          <w:sz w:val="32"/>
          <w:szCs w:val="24"/>
        </w:rPr>
      </w:pPr>
      <w:r w:rsidRPr="00481159">
        <w:rPr>
          <w:rFonts w:asciiTheme="majorHAnsi" w:hAnsiTheme="majorHAnsi" w:cs="OTNEJMQuadraatSmallCap"/>
          <w:color w:val="1F497D" w:themeColor="text2"/>
          <w:sz w:val="32"/>
          <w:szCs w:val="24"/>
        </w:rPr>
        <w:t>Protesi di riferimento con teste di metallo larghe e manicotti, infatti, erano destinate a sostituzioni parziali d’anca, non totali.</w:t>
      </w:r>
      <w:r w:rsidRPr="00481159">
        <w:rPr>
          <w:color w:val="1F497D" w:themeColor="text2"/>
          <w:sz w:val="28"/>
        </w:rPr>
        <w:t xml:space="preserve"> </w:t>
      </w:r>
      <w:r w:rsidRPr="00481159">
        <w:rPr>
          <w:rFonts w:asciiTheme="majorHAnsi" w:hAnsiTheme="majorHAnsi" w:cs="OTNEJMQuadraatSmallCap"/>
          <w:color w:val="1F497D" w:themeColor="text2"/>
          <w:sz w:val="32"/>
          <w:szCs w:val="24"/>
        </w:rPr>
        <w:t>Un trial clinico avrebbe potuto identificare l’alto tasso di revisione dell’ASR, che invece è diventato evidente dopo 9 mesi quando è stato comparato con tutte le altre protesi totali di anca convenzionali nell’Australian Joint Registry e che peggiorava precipitosamente nel tempo.</w:t>
      </w:r>
    </w:p>
    <w:p w:rsidR="00262548" w:rsidRPr="00481159" w:rsidRDefault="00262548" w:rsidP="00871305">
      <w:pPr>
        <w:autoSpaceDE w:val="0"/>
        <w:autoSpaceDN w:val="0"/>
        <w:adjustRightInd w:val="0"/>
        <w:spacing w:after="0" w:line="240" w:lineRule="auto"/>
        <w:contextualSpacing/>
        <w:mirrorIndents/>
        <w:rPr>
          <w:rFonts w:asciiTheme="majorHAnsi" w:hAnsiTheme="majorHAnsi" w:cs="OTNEJMQuadraatSmallCap"/>
          <w:color w:val="1F497D" w:themeColor="text2"/>
          <w:sz w:val="32"/>
          <w:szCs w:val="24"/>
        </w:rPr>
      </w:pPr>
      <w:r w:rsidRPr="00481159">
        <w:rPr>
          <w:rFonts w:asciiTheme="majorHAnsi" w:hAnsiTheme="majorHAnsi" w:cs="OTNEJMQuadraatSmallCap"/>
          <w:color w:val="1F497D" w:themeColor="text2"/>
          <w:sz w:val="32"/>
          <w:szCs w:val="24"/>
        </w:rPr>
        <w:t>Il recentemente approvato Medical Device User Fee and Modernization Act contiene un provvedimento che dovrebbe rendere più se</w:t>
      </w:r>
      <w:r w:rsidR="00DE6603" w:rsidRPr="00481159">
        <w:rPr>
          <w:rFonts w:asciiTheme="majorHAnsi" w:hAnsiTheme="majorHAnsi" w:cs="OTNEJMQuadraatSmallCap"/>
          <w:color w:val="1F497D" w:themeColor="text2"/>
          <w:sz w:val="32"/>
          <w:szCs w:val="24"/>
        </w:rPr>
        <w:t xml:space="preserve">mplice alla FDA ovviare alla </w:t>
      </w:r>
      <w:r w:rsidRPr="00481159">
        <w:rPr>
          <w:rFonts w:asciiTheme="majorHAnsi" w:hAnsiTheme="majorHAnsi" w:cs="OTNEJMQuadraatSmallCap"/>
          <w:color w:val="1F497D" w:themeColor="text2"/>
          <w:sz w:val="32"/>
          <w:szCs w:val="24"/>
        </w:rPr>
        <w:t>la</w:t>
      </w:r>
      <w:r w:rsidR="00DE6603" w:rsidRPr="00481159">
        <w:rPr>
          <w:rFonts w:asciiTheme="majorHAnsi" w:hAnsiTheme="majorHAnsi" w:cs="OTNEJMQuadraatSmallCap"/>
          <w:color w:val="1F497D" w:themeColor="text2"/>
          <w:sz w:val="32"/>
          <w:szCs w:val="24"/>
        </w:rPr>
        <w:t>cuna</w:t>
      </w:r>
      <w:r w:rsidRPr="00481159">
        <w:rPr>
          <w:rFonts w:asciiTheme="majorHAnsi" w:hAnsiTheme="majorHAnsi" w:cs="OTNEJMQuadraatSmallCap"/>
          <w:color w:val="1F497D" w:themeColor="text2"/>
          <w:sz w:val="32"/>
          <w:szCs w:val="24"/>
        </w:rPr>
        <w:t xml:space="preserve"> per i rimanenti 19 dispositivi di classe III. Questo darebbe maggior valore ad un’approvazione della FDA.</w:t>
      </w:r>
    </w:p>
    <w:p w:rsidR="00507E09" w:rsidRDefault="00507E09">
      <w:pPr>
        <w:rPr>
          <w:rFonts w:asciiTheme="majorHAnsi" w:hAnsiTheme="majorHAnsi" w:cs="OTNEJMQuadraatSmallCap"/>
          <w:color w:val="1F497D" w:themeColor="text2"/>
          <w:sz w:val="32"/>
          <w:szCs w:val="24"/>
        </w:rPr>
      </w:pPr>
      <w:r>
        <w:rPr>
          <w:rFonts w:asciiTheme="majorHAnsi" w:hAnsiTheme="majorHAnsi" w:cs="OTNEJMQuadraatSmallCap"/>
          <w:color w:val="1F497D" w:themeColor="text2"/>
          <w:sz w:val="32"/>
          <w:szCs w:val="24"/>
        </w:rPr>
        <w:br w:type="page"/>
      </w:r>
    </w:p>
    <w:p w:rsidR="00DE6603" w:rsidRPr="00481159" w:rsidRDefault="00DE6603" w:rsidP="00871305">
      <w:pPr>
        <w:autoSpaceDE w:val="0"/>
        <w:autoSpaceDN w:val="0"/>
        <w:adjustRightInd w:val="0"/>
        <w:spacing w:after="0" w:line="240" w:lineRule="auto"/>
        <w:contextualSpacing/>
        <w:mirrorIndents/>
        <w:rPr>
          <w:rFonts w:asciiTheme="majorHAnsi" w:hAnsiTheme="majorHAnsi" w:cs="OTNEJMQuadraatSmallCap"/>
          <w:color w:val="1F497D" w:themeColor="text2"/>
          <w:sz w:val="32"/>
          <w:szCs w:val="24"/>
        </w:rPr>
      </w:pPr>
    </w:p>
    <w:p w:rsidR="00DE6603" w:rsidRPr="00481159" w:rsidRDefault="00DE6603" w:rsidP="00871305">
      <w:pPr>
        <w:autoSpaceDE w:val="0"/>
        <w:autoSpaceDN w:val="0"/>
        <w:adjustRightInd w:val="0"/>
        <w:spacing w:after="0" w:line="240" w:lineRule="auto"/>
        <w:contextualSpacing/>
        <w:mirrorIndents/>
        <w:rPr>
          <w:rFonts w:asciiTheme="majorHAnsi" w:hAnsiTheme="majorHAnsi" w:cs="OTNEJMQuadraatSmallCap"/>
          <w:color w:val="1F497D" w:themeColor="text2"/>
          <w:sz w:val="32"/>
          <w:szCs w:val="24"/>
        </w:rPr>
      </w:pPr>
    </w:p>
    <w:p w:rsidR="00DE6603" w:rsidRPr="00481159" w:rsidRDefault="00DE6603" w:rsidP="00871305">
      <w:pPr>
        <w:autoSpaceDE w:val="0"/>
        <w:autoSpaceDN w:val="0"/>
        <w:adjustRightInd w:val="0"/>
        <w:spacing w:after="0" w:line="240" w:lineRule="auto"/>
        <w:contextualSpacing/>
        <w:mirrorIndents/>
        <w:rPr>
          <w:rFonts w:asciiTheme="majorHAnsi" w:hAnsiTheme="majorHAnsi" w:cs="OTNEJMQuadraatSmallCap"/>
          <w:color w:val="1F497D" w:themeColor="text2"/>
          <w:sz w:val="32"/>
          <w:szCs w:val="24"/>
        </w:rPr>
      </w:pPr>
      <w:r w:rsidRPr="00481159">
        <w:rPr>
          <w:rFonts w:asciiTheme="majorHAnsi" w:hAnsiTheme="majorHAnsi" w:cs="OTNEJMQuadraatSmallCap"/>
          <w:color w:val="1F497D" w:themeColor="text2"/>
          <w:sz w:val="32"/>
          <w:szCs w:val="24"/>
        </w:rPr>
        <w:t>COMMENTO:</w:t>
      </w:r>
    </w:p>
    <w:p w:rsidR="00DE6603" w:rsidRPr="00481159" w:rsidRDefault="00DE6603" w:rsidP="00871305">
      <w:pPr>
        <w:autoSpaceDE w:val="0"/>
        <w:autoSpaceDN w:val="0"/>
        <w:adjustRightInd w:val="0"/>
        <w:spacing w:after="0" w:line="240" w:lineRule="auto"/>
        <w:contextualSpacing/>
        <w:mirrorIndents/>
        <w:rPr>
          <w:rFonts w:asciiTheme="majorHAnsi" w:hAnsiTheme="majorHAnsi" w:cs="OTNEJMQuadraatSmallCap"/>
          <w:color w:val="1F497D" w:themeColor="text2"/>
          <w:sz w:val="32"/>
          <w:szCs w:val="24"/>
        </w:rPr>
      </w:pPr>
      <w:r w:rsidRPr="00481159">
        <w:rPr>
          <w:rFonts w:asciiTheme="majorHAnsi" w:hAnsiTheme="majorHAnsi" w:cs="OTNEJMQuadraatSmallCap"/>
          <w:color w:val="1F497D" w:themeColor="text2"/>
          <w:sz w:val="32"/>
          <w:szCs w:val="24"/>
        </w:rPr>
        <w:t xml:space="preserve">L’articolo che proponiamo in questa newsletter mette in luce un’importante problematica: l’incapacità del sistema adottato dalla FDA di valutare sicurezza ed efficacia di dispositivi medici </w:t>
      </w:r>
      <w:r w:rsidR="00F04C24" w:rsidRPr="00481159">
        <w:rPr>
          <w:rFonts w:asciiTheme="majorHAnsi" w:hAnsiTheme="majorHAnsi" w:cs="OTNEJMQuadraatSmallCap"/>
          <w:color w:val="1F497D" w:themeColor="text2"/>
          <w:sz w:val="32"/>
          <w:szCs w:val="24"/>
        </w:rPr>
        <w:t xml:space="preserve">di classe III </w:t>
      </w:r>
      <w:r w:rsidRPr="00481159">
        <w:rPr>
          <w:rFonts w:asciiTheme="majorHAnsi" w:hAnsiTheme="majorHAnsi" w:cs="OTNEJMQuadraatSmallCap"/>
          <w:color w:val="1F497D" w:themeColor="text2"/>
          <w:sz w:val="32"/>
          <w:szCs w:val="24"/>
        </w:rPr>
        <w:t>in modo appropriato nella fase della pre-commercializzazione</w:t>
      </w:r>
      <w:r w:rsidR="00B82A6C" w:rsidRPr="00481159">
        <w:rPr>
          <w:rFonts w:asciiTheme="majorHAnsi" w:hAnsiTheme="majorHAnsi" w:cs="OTNEJMQuadraatSmallCap"/>
          <w:color w:val="1F497D" w:themeColor="text2"/>
          <w:sz w:val="32"/>
          <w:szCs w:val="24"/>
        </w:rPr>
        <w:t xml:space="preserve"> e il mancato raggiungimento della soluzione proposta all’agenzia governativa statunitense </w:t>
      </w:r>
      <w:r w:rsidRPr="00481159">
        <w:rPr>
          <w:rFonts w:asciiTheme="majorHAnsi" w:hAnsiTheme="majorHAnsi" w:cs="OTNEJMQuadraatSmallCap"/>
          <w:color w:val="1F497D" w:themeColor="text2"/>
          <w:sz w:val="32"/>
          <w:szCs w:val="24"/>
        </w:rPr>
        <w:t>.</w:t>
      </w:r>
    </w:p>
    <w:p w:rsidR="00DE6603" w:rsidRPr="00481159" w:rsidRDefault="00DE6603" w:rsidP="00871305">
      <w:pPr>
        <w:autoSpaceDE w:val="0"/>
        <w:autoSpaceDN w:val="0"/>
        <w:adjustRightInd w:val="0"/>
        <w:spacing w:after="0" w:line="240" w:lineRule="auto"/>
        <w:contextualSpacing/>
        <w:mirrorIndents/>
        <w:rPr>
          <w:rFonts w:asciiTheme="majorHAnsi" w:hAnsiTheme="majorHAnsi" w:cs="OTNEJMQuadraatSmallCap"/>
          <w:color w:val="1F497D" w:themeColor="text2"/>
          <w:sz w:val="32"/>
          <w:szCs w:val="24"/>
        </w:rPr>
      </w:pPr>
      <w:r w:rsidRPr="00481159">
        <w:rPr>
          <w:rFonts w:asciiTheme="majorHAnsi" w:hAnsiTheme="majorHAnsi" w:cs="OTNEJMQuadraatSmallCap"/>
          <w:color w:val="1F497D" w:themeColor="text2"/>
          <w:sz w:val="32"/>
          <w:szCs w:val="24"/>
        </w:rPr>
        <w:t xml:space="preserve">L’argomento non è nuovo come </w:t>
      </w:r>
      <w:r w:rsidR="00F04C24" w:rsidRPr="00481159">
        <w:rPr>
          <w:rFonts w:asciiTheme="majorHAnsi" w:hAnsiTheme="majorHAnsi" w:cs="OTNEJMQuadraatSmallCap"/>
          <w:color w:val="1F497D" w:themeColor="text2"/>
          <w:sz w:val="32"/>
          <w:szCs w:val="24"/>
        </w:rPr>
        <w:t>proposta (cfr. PubMed)</w:t>
      </w:r>
      <w:r w:rsidR="00107818" w:rsidRPr="00481159">
        <w:rPr>
          <w:rFonts w:asciiTheme="majorHAnsi" w:hAnsiTheme="majorHAnsi" w:cs="OTNEJMQuadraatSmallCap"/>
          <w:color w:val="1F497D" w:themeColor="text2"/>
          <w:sz w:val="32"/>
          <w:szCs w:val="24"/>
        </w:rPr>
        <w:t>, ma non per questo meno importante.</w:t>
      </w:r>
    </w:p>
    <w:p w:rsidR="00EA285F" w:rsidRPr="00481159" w:rsidRDefault="00107818" w:rsidP="00107818">
      <w:pPr>
        <w:rPr>
          <w:rFonts w:asciiTheme="majorHAnsi" w:hAnsiTheme="majorHAnsi" w:cs="OTNEJMQuadraatSmallCap"/>
          <w:color w:val="1F497D" w:themeColor="text2"/>
          <w:sz w:val="32"/>
          <w:szCs w:val="24"/>
        </w:rPr>
      </w:pPr>
      <w:r w:rsidRPr="00481159">
        <w:rPr>
          <w:rFonts w:asciiTheme="majorHAnsi" w:hAnsiTheme="majorHAnsi" w:cs="OTNEJMQuadraatSmallCap"/>
          <w:color w:val="1F497D" w:themeColor="text2"/>
          <w:sz w:val="32"/>
          <w:szCs w:val="24"/>
        </w:rPr>
        <w:t xml:space="preserve">La Food and Drug Administration negli Stati Uniti si occupa della valutazione di sicurezza ed efficacia dei dispositivi medici sin dal 1906; le è stata concessa una maggiore autorità nella regolamentazione dei farmaci nel 1938 e in quella dei dispositivi medici nel 1976. </w:t>
      </w:r>
      <w:r w:rsidR="00EA285F" w:rsidRPr="00481159">
        <w:rPr>
          <w:rFonts w:asciiTheme="majorHAnsi" w:hAnsiTheme="majorHAnsi" w:cs="OTNEJMQuadraatSmallCap"/>
          <w:color w:val="1F497D" w:themeColor="text2"/>
          <w:sz w:val="32"/>
          <w:szCs w:val="24"/>
        </w:rPr>
        <w:t>È presieduta da un Commissario che viene nominato dal Presidente degli Stati Uniti d'America e confermato dal Senato. L'attuale Commissario è Margaret A. Hamburg.</w:t>
      </w:r>
    </w:p>
    <w:p w:rsidR="00871305" w:rsidRPr="00481159" w:rsidRDefault="00107818" w:rsidP="00107818">
      <w:pPr>
        <w:rPr>
          <w:rFonts w:asciiTheme="majorHAnsi" w:hAnsiTheme="majorHAnsi" w:cs="OTNEJMQuadraatSmallCap"/>
          <w:color w:val="1F497D" w:themeColor="text2"/>
          <w:sz w:val="32"/>
          <w:szCs w:val="24"/>
        </w:rPr>
      </w:pPr>
      <w:r w:rsidRPr="00481159">
        <w:rPr>
          <w:rFonts w:asciiTheme="majorHAnsi" w:hAnsiTheme="majorHAnsi" w:cs="OTNEJMQuadraatSmallCap"/>
          <w:color w:val="1F497D" w:themeColor="text2"/>
          <w:sz w:val="32"/>
          <w:szCs w:val="24"/>
        </w:rPr>
        <w:t>Il processo 510(k) posto sotto accusa in questo articolo</w:t>
      </w:r>
      <w:r w:rsidR="00F04C24" w:rsidRPr="00481159">
        <w:rPr>
          <w:rFonts w:asciiTheme="majorHAnsi" w:hAnsiTheme="majorHAnsi" w:cs="OTNEJMQuadraatSmallCap"/>
          <w:color w:val="1F497D" w:themeColor="text2"/>
          <w:sz w:val="32"/>
          <w:szCs w:val="24"/>
        </w:rPr>
        <w:t xml:space="preserve"> è ritenuto lacunoso perché valuta dispositivi medici </w:t>
      </w:r>
      <w:r w:rsidR="00B82A6C" w:rsidRPr="00481159">
        <w:rPr>
          <w:rFonts w:asciiTheme="majorHAnsi" w:hAnsiTheme="majorHAnsi" w:cs="OTNEJMQuadraatSmallCap"/>
          <w:color w:val="1F497D" w:themeColor="text2"/>
          <w:sz w:val="32"/>
          <w:szCs w:val="24"/>
        </w:rPr>
        <w:t xml:space="preserve">di classe III </w:t>
      </w:r>
      <w:r w:rsidR="00F04C24" w:rsidRPr="00481159">
        <w:rPr>
          <w:rFonts w:asciiTheme="majorHAnsi" w:hAnsiTheme="majorHAnsi" w:cs="OTNEJMQuadraatSmallCap"/>
          <w:color w:val="1F497D" w:themeColor="text2"/>
          <w:sz w:val="32"/>
          <w:szCs w:val="24"/>
        </w:rPr>
        <w:t>non utilizzando studi con dati clinici, bensì valutandone la “</w:t>
      </w:r>
      <w:r w:rsidR="00F04C24" w:rsidRPr="00481159">
        <w:rPr>
          <w:rFonts w:asciiTheme="majorHAnsi" w:hAnsiTheme="majorHAnsi" w:cs="OTNEJMQuadraatSmallCap"/>
          <w:color w:val="1F497D" w:themeColor="text2"/>
          <w:sz w:val="32"/>
          <w:szCs w:val="24"/>
          <w:u w:val="single"/>
        </w:rPr>
        <w:t>sostanziale equivalenza</w:t>
      </w:r>
      <w:r w:rsidR="00F04C24" w:rsidRPr="00481159">
        <w:rPr>
          <w:rFonts w:asciiTheme="majorHAnsi" w:hAnsiTheme="majorHAnsi" w:cs="OTNEJMQuadraatSmallCap"/>
          <w:color w:val="1F497D" w:themeColor="text2"/>
          <w:sz w:val="32"/>
          <w:szCs w:val="24"/>
        </w:rPr>
        <w:t>” con dispos</w:t>
      </w:r>
      <w:r w:rsidR="00B82A6C" w:rsidRPr="00481159">
        <w:rPr>
          <w:rFonts w:asciiTheme="majorHAnsi" w:hAnsiTheme="majorHAnsi" w:cs="OTNEJMQuadraatSmallCap"/>
          <w:color w:val="1F497D" w:themeColor="text2"/>
          <w:sz w:val="32"/>
          <w:szCs w:val="24"/>
        </w:rPr>
        <w:t xml:space="preserve">itivi (o parte di essi) messi a </w:t>
      </w:r>
      <w:r w:rsidR="00F04C24" w:rsidRPr="00481159">
        <w:rPr>
          <w:rFonts w:asciiTheme="majorHAnsi" w:hAnsiTheme="majorHAnsi" w:cs="OTNEJMQuadraatSmallCap"/>
          <w:color w:val="1F497D" w:themeColor="text2"/>
          <w:sz w:val="32"/>
          <w:szCs w:val="24"/>
        </w:rPr>
        <w:t xml:space="preserve">punto e approvati </w:t>
      </w:r>
      <w:r w:rsidR="00F04C24" w:rsidRPr="00481159">
        <w:rPr>
          <w:rFonts w:asciiTheme="majorHAnsi" w:hAnsiTheme="majorHAnsi" w:cs="OTNEJMQuadraatSmallCap"/>
          <w:color w:val="1F497D" w:themeColor="text2"/>
          <w:sz w:val="32"/>
          <w:szCs w:val="24"/>
          <w:u w:val="single"/>
        </w:rPr>
        <w:t>prima del 28 maggio 1976</w:t>
      </w:r>
      <w:r w:rsidR="00F04C24" w:rsidRPr="00481159">
        <w:rPr>
          <w:rFonts w:asciiTheme="majorHAnsi" w:hAnsiTheme="majorHAnsi" w:cs="OTNEJMQuadraatSmallCap"/>
          <w:color w:val="1F497D" w:themeColor="text2"/>
          <w:sz w:val="32"/>
          <w:szCs w:val="24"/>
        </w:rPr>
        <w:t>. A causa di tale lacuna dispositivi ormai da tempo dimostratisi pericolosi come le protesi d’anca metallo-metallo sono stati commercializzati</w:t>
      </w:r>
      <w:r w:rsidR="00B82A6C" w:rsidRPr="00481159">
        <w:rPr>
          <w:rFonts w:asciiTheme="majorHAnsi" w:hAnsiTheme="majorHAnsi" w:cs="OTNEJMQuadraatSmallCap"/>
          <w:color w:val="1F497D" w:themeColor="text2"/>
          <w:sz w:val="32"/>
          <w:szCs w:val="24"/>
        </w:rPr>
        <w:t xml:space="preserve"> come dispositivi sicuri ed efficaci</w:t>
      </w:r>
      <w:r w:rsidR="00F04C24" w:rsidRPr="00481159">
        <w:rPr>
          <w:rFonts w:asciiTheme="majorHAnsi" w:hAnsiTheme="majorHAnsi" w:cs="OTNEJMQuadraatSmallCap"/>
          <w:color w:val="1F497D" w:themeColor="text2"/>
          <w:sz w:val="32"/>
          <w:szCs w:val="24"/>
        </w:rPr>
        <w:t>. Se tale falla non fosse stata presente nel sistema</w:t>
      </w:r>
      <w:r w:rsidR="00EA285F" w:rsidRPr="00481159">
        <w:rPr>
          <w:rFonts w:asciiTheme="majorHAnsi" w:hAnsiTheme="majorHAnsi" w:cs="OTNEJMQuadraatSmallCap"/>
          <w:color w:val="1F497D" w:themeColor="text2"/>
          <w:sz w:val="32"/>
          <w:szCs w:val="24"/>
        </w:rPr>
        <w:t>,</w:t>
      </w:r>
      <w:r w:rsidR="00F04C24" w:rsidRPr="00481159">
        <w:rPr>
          <w:rFonts w:asciiTheme="majorHAnsi" w:hAnsiTheme="majorHAnsi" w:cs="OTNEJMQuadraatSmallCap"/>
          <w:color w:val="1F497D" w:themeColor="text2"/>
          <w:sz w:val="32"/>
          <w:szCs w:val="24"/>
        </w:rPr>
        <w:t xml:space="preserve"> la sicurezza dei cittadini non sarebbe stata messa a rischio da dispositivi del genere.</w:t>
      </w:r>
    </w:p>
    <w:p w:rsidR="00F04C24" w:rsidRPr="00481159" w:rsidRDefault="00F04C24" w:rsidP="00107818">
      <w:pPr>
        <w:rPr>
          <w:rFonts w:asciiTheme="majorHAnsi" w:hAnsiTheme="majorHAnsi" w:cs="OTNEJMQuadraatSmallCap"/>
          <w:color w:val="1F497D" w:themeColor="text2"/>
          <w:sz w:val="32"/>
          <w:szCs w:val="24"/>
        </w:rPr>
      </w:pPr>
      <w:r w:rsidRPr="00481159">
        <w:rPr>
          <w:rFonts w:asciiTheme="majorHAnsi" w:hAnsiTheme="majorHAnsi" w:cs="OTNEJMQuadraatSmallCap"/>
          <w:color w:val="1F497D" w:themeColor="text2"/>
          <w:sz w:val="32"/>
          <w:szCs w:val="24"/>
        </w:rPr>
        <w:t>La soluzione c’è</w:t>
      </w:r>
      <w:r w:rsidR="00EA285F" w:rsidRPr="00481159">
        <w:rPr>
          <w:rFonts w:asciiTheme="majorHAnsi" w:hAnsiTheme="majorHAnsi" w:cs="OTNEJMQuadraatSmallCap"/>
          <w:color w:val="1F497D" w:themeColor="text2"/>
          <w:sz w:val="32"/>
          <w:szCs w:val="24"/>
        </w:rPr>
        <w:t>:</w:t>
      </w:r>
      <w:r w:rsidRPr="00481159">
        <w:rPr>
          <w:rFonts w:asciiTheme="majorHAnsi" w:hAnsiTheme="majorHAnsi" w:cs="OTNEJMQuadraatSmallCap"/>
          <w:color w:val="1F497D" w:themeColor="text2"/>
          <w:sz w:val="32"/>
          <w:szCs w:val="24"/>
        </w:rPr>
        <w:t xml:space="preserve"> </w:t>
      </w:r>
      <w:r w:rsidR="00EA285F" w:rsidRPr="00481159">
        <w:rPr>
          <w:rFonts w:asciiTheme="majorHAnsi" w:hAnsiTheme="majorHAnsi" w:cs="OTNEJMQuadraatSmallCap"/>
          <w:color w:val="1F497D" w:themeColor="text2"/>
          <w:sz w:val="32"/>
          <w:szCs w:val="24"/>
        </w:rPr>
        <w:t>l’approvazione pre-commercializzazione (PMA) che richiede dati clinici per approvare un nuovo dispositivo. La FDA aveva assicurato il passaggio alla PMA</w:t>
      </w:r>
      <w:r w:rsidRPr="00481159">
        <w:rPr>
          <w:rFonts w:asciiTheme="majorHAnsi" w:hAnsiTheme="majorHAnsi" w:cs="OTNEJMQuadraatSmallCap"/>
          <w:color w:val="1F497D" w:themeColor="text2"/>
          <w:sz w:val="32"/>
          <w:szCs w:val="24"/>
        </w:rPr>
        <w:t xml:space="preserve"> entro il 31 dicembre 2012, ma per qualche ragione -e io credo in quella degli interessi economici e politici- tale traguardo</w:t>
      </w:r>
      <w:r w:rsidR="00B82A6C" w:rsidRPr="00481159">
        <w:rPr>
          <w:rFonts w:asciiTheme="majorHAnsi" w:hAnsiTheme="majorHAnsi" w:cs="OTNEJMQuadraatSmallCap"/>
          <w:color w:val="1F497D" w:themeColor="text2"/>
          <w:sz w:val="32"/>
          <w:szCs w:val="24"/>
        </w:rPr>
        <w:t xml:space="preserve"> il 19 dicembre 2012 non era ancora stato raggiunto.</w:t>
      </w:r>
    </w:p>
    <w:p w:rsidR="00EA285F" w:rsidRPr="00481159" w:rsidRDefault="00EA285F" w:rsidP="00107818">
      <w:pPr>
        <w:rPr>
          <w:rFonts w:asciiTheme="majorHAnsi" w:hAnsiTheme="majorHAnsi" w:cs="OTNEJMQuadraatSmallCap"/>
          <w:color w:val="1F497D" w:themeColor="text2"/>
          <w:sz w:val="32"/>
          <w:szCs w:val="24"/>
        </w:rPr>
      </w:pPr>
      <w:r w:rsidRPr="00481159">
        <w:rPr>
          <w:rFonts w:asciiTheme="majorHAnsi" w:hAnsiTheme="majorHAnsi" w:cs="OTNEJMQuadraatSmallCap"/>
          <w:color w:val="1F497D" w:themeColor="text2"/>
          <w:sz w:val="32"/>
          <w:szCs w:val="24"/>
        </w:rPr>
        <w:t>Problema nel problema sono le protesi totali d’anca metallo-metallo</w:t>
      </w:r>
      <w:r w:rsidR="000158FE" w:rsidRPr="00481159">
        <w:rPr>
          <w:rFonts w:asciiTheme="majorHAnsi" w:hAnsiTheme="majorHAnsi" w:cs="OTNEJMQuadraatSmallCap"/>
          <w:color w:val="1F497D" w:themeColor="text2"/>
          <w:sz w:val="32"/>
          <w:szCs w:val="24"/>
        </w:rPr>
        <w:t xml:space="preserve"> poste come esempio</w:t>
      </w:r>
      <w:r w:rsidRPr="00481159">
        <w:rPr>
          <w:rFonts w:asciiTheme="majorHAnsi" w:hAnsiTheme="majorHAnsi" w:cs="OTNEJMQuadraatSmallCap"/>
          <w:color w:val="1F497D" w:themeColor="text2"/>
          <w:sz w:val="32"/>
          <w:szCs w:val="24"/>
        </w:rPr>
        <w:t>.</w:t>
      </w:r>
      <w:r w:rsidR="000158FE" w:rsidRPr="00481159">
        <w:rPr>
          <w:rFonts w:asciiTheme="majorHAnsi" w:hAnsiTheme="majorHAnsi" w:cs="OTNEJMQuadraatSmallCap"/>
          <w:color w:val="1F497D" w:themeColor="text2"/>
          <w:sz w:val="32"/>
          <w:szCs w:val="24"/>
        </w:rPr>
        <w:t xml:space="preserve"> Gli autori hanno riportato tra i riferimenti bibliografici due studi pubblicati nel 1983 e nel 1979. Non credo sia casuale aver scelto studi tanto vecchi poiché già allora essi dimostravano la pericolosità e gli scarsi risultati delle protesi totali di anca metallo-metallo comparandole a quelle metallo-plastica. Eppure, a causa della lacuna di sistema della FDA, nel 2008 </w:t>
      </w:r>
      <w:r w:rsidR="005E5329" w:rsidRPr="00481159">
        <w:rPr>
          <w:rFonts w:asciiTheme="majorHAnsi" w:hAnsiTheme="majorHAnsi" w:cs="OTNEJMQuadraatSmallCap"/>
          <w:color w:val="1F497D" w:themeColor="text2"/>
          <w:sz w:val="32"/>
          <w:szCs w:val="24"/>
        </w:rPr>
        <w:t xml:space="preserve">– ben 29 anni dopo lo studio di Cabitza e Percudani- </w:t>
      </w:r>
      <w:r w:rsidR="000158FE" w:rsidRPr="00481159">
        <w:rPr>
          <w:rFonts w:asciiTheme="majorHAnsi" w:hAnsiTheme="majorHAnsi" w:cs="OTNEJMQuadraatSmallCap"/>
          <w:color w:val="1F497D" w:themeColor="text2"/>
          <w:sz w:val="32"/>
          <w:szCs w:val="24"/>
        </w:rPr>
        <w:t>una nuova protesi metallo-metallo</w:t>
      </w:r>
      <w:r w:rsidR="005E5329" w:rsidRPr="00481159">
        <w:rPr>
          <w:rFonts w:asciiTheme="majorHAnsi" w:hAnsiTheme="majorHAnsi" w:cs="OTNEJMQuadraatSmallCap"/>
          <w:color w:val="1F497D" w:themeColor="text2"/>
          <w:sz w:val="32"/>
          <w:szCs w:val="24"/>
        </w:rPr>
        <w:t xml:space="preserve"> è stata approvata.</w:t>
      </w:r>
    </w:p>
    <w:p w:rsidR="00871305" w:rsidRPr="00481159" w:rsidRDefault="00775C08" w:rsidP="00B81D85">
      <w:pPr>
        <w:rPr>
          <w:rFonts w:asciiTheme="majorHAnsi" w:hAnsiTheme="majorHAnsi" w:cs="OTNEJMQuadraatSmallCap"/>
          <w:color w:val="1F497D" w:themeColor="text2"/>
          <w:sz w:val="32"/>
          <w:szCs w:val="24"/>
        </w:rPr>
      </w:pPr>
      <w:r w:rsidRPr="00481159">
        <w:rPr>
          <w:rFonts w:asciiTheme="majorHAnsi" w:hAnsiTheme="majorHAnsi" w:cs="OTNEJMQuadraatSmallCap"/>
          <w:color w:val="1F497D" w:themeColor="text2"/>
          <w:sz w:val="32"/>
          <w:szCs w:val="24"/>
        </w:rPr>
        <w:t>Il 22 gennaio 2013 Rita F.</w:t>
      </w:r>
      <w:r w:rsidR="00B81D85" w:rsidRPr="00481159">
        <w:rPr>
          <w:rFonts w:asciiTheme="majorHAnsi" w:hAnsiTheme="majorHAnsi" w:cs="OTNEJMQuadraatSmallCap"/>
          <w:color w:val="1F497D" w:themeColor="text2"/>
          <w:sz w:val="32"/>
          <w:szCs w:val="24"/>
        </w:rPr>
        <w:t xml:space="preserve"> Redberg, M.D., M.Sc., insieme a Brent M. Ardaugh e</w:t>
      </w:r>
      <w:r w:rsidRPr="00481159">
        <w:rPr>
          <w:rFonts w:asciiTheme="majorHAnsi" w:hAnsiTheme="majorHAnsi" w:cs="OTNEJMQuadraatSmallCap"/>
          <w:color w:val="1F497D" w:themeColor="text2"/>
          <w:sz w:val="32"/>
          <w:szCs w:val="24"/>
        </w:rPr>
        <w:t xml:space="preserve"> Stephen E. Graves,</w:t>
      </w:r>
      <w:r w:rsidR="00B81D85" w:rsidRPr="00481159">
        <w:rPr>
          <w:rFonts w:asciiTheme="majorHAnsi" w:hAnsiTheme="majorHAnsi" w:cs="OTNEJMQuadraatSmallCap"/>
          <w:color w:val="1F497D" w:themeColor="text2"/>
          <w:sz w:val="32"/>
          <w:szCs w:val="24"/>
        </w:rPr>
        <w:t xml:space="preserve"> ha pubblicato in rete un ulteriore articolo sull’argomento che possa essere d’aiuto ai pazienti: “</w:t>
      </w:r>
      <w:r w:rsidRPr="00481159">
        <w:rPr>
          <w:rFonts w:asciiTheme="majorHAnsi" w:hAnsiTheme="majorHAnsi" w:cs="OTNEJMQuadraatSmallCap"/>
          <w:color w:val="1F497D" w:themeColor="text2"/>
          <w:sz w:val="32"/>
          <w:szCs w:val="24"/>
        </w:rPr>
        <w:t>Una chiamata per evitare che pericolosi dispositivi medici ad alto rischio raggiungano il mercato</w:t>
      </w:r>
      <w:r w:rsidR="00B81D85" w:rsidRPr="00481159">
        <w:rPr>
          <w:rFonts w:asciiTheme="majorHAnsi" w:hAnsiTheme="majorHAnsi" w:cs="OTNEJMQuadraatSmallCap"/>
          <w:color w:val="1F497D" w:themeColor="text2"/>
          <w:sz w:val="32"/>
          <w:szCs w:val="24"/>
        </w:rPr>
        <w:t xml:space="preserve">”. Se doveste essere interessati lo trovate al seguente indirizzo: </w:t>
      </w:r>
      <w:hyperlink r:id="rId6" w:history="1">
        <w:r w:rsidR="00777F4E" w:rsidRPr="00481159">
          <w:rPr>
            <w:rStyle w:val="Collegamentoipertestuale"/>
            <w:rFonts w:asciiTheme="majorHAnsi" w:eastAsia="OTNEJMQuadraat" w:hAnsiTheme="majorHAnsi" w:cs="OTNEJMQuadraat"/>
            <w:color w:val="1F497D" w:themeColor="text2"/>
            <w:sz w:val="32"/>
            <w:szCs w:val="24"/>
          </w:rPr>
          <w:t>http://www.eurekalert.org/pub_releases/2013-01/uoc--act0</w:t>
        </w:r>
        <w:bookmarkStart w:id="0" w:name="_GoBack"/>
        <w:bookmarkEnd w:id="0"/>
        <w:r w:rsidR="00777F4E" w:rsidRPr="00481159">
          <w:rPr>
            <w:rStyle w:val="Collegamentoipertestuale"/>
            <w:rFonts w:asciiTheme="majorHAnsi" w:eastAsia="OTNEJMQuadraat" w:hAnsiTheme="majorHAnsi" w:cs="OTNEJMQuadraat"/>
            <w:color w:val="1F497D" w:themeColor="text2"/>
            <w:sz w:val="32"/>
            <w:szCs w:val="24"/>
          </w:rPr>
          <w:t>12213.php</w:t>
        </w:r>
      </w:hyperlink>
    </w:p>
    <w:p w:rsidR="009E55B6" w:rsidRPr="00481159" w:rsidRDefault="009E55B6" w:rsidP="00DD5276">
      <w:pPr>
        <w:autoSpaceDE w:val="0"/>
        <w:autoSpaceDN w:val="0"/>
        <w:adjustRightInd w:val="0"/>
        <w:spacing w:after="0" w:line="240" w:lineRule="auto"/>
        <w:contextualSpacing/>
        <w:mirrorIndents/>
        <w:rPr>
          <w:rFonts w:asciiTheme="majorHAnsi" w:eastAsia="OTNEJMQuadraat" w:hAnsiTheme="majorHAnsi" w:cs="OTNEJMQuadraat"/>
          <w:color w:val="548DD4" w:themeColor="text2" w:themeTint="99"/>
          <w:sz w:val="32"/>
          <w:szCs w:val="24"/>
        </w:rPr>
      </w:pPr>
    </w:p>
    <w:p w:rsidR="00DD5276" w:rsidRPr="00481159" w:rsidRDefault="00DD5276" w:rsidP="00DD5276">
      <w:pPr>
        <w:autoSpaceDE w:val="0"/>
        <w:autoSpaceDN w:val="0"/>
        <w:adjustRightInd w:val="0"/>
        <w:spacing w:after="0" w:line="240" w:lineRule="auto"/>
        <w:contextualSpacing/>
        <w:mirrorIndents/>
        <w:rPr>
          <w:rFonts w:asciiTheme="majorHAnsi" w:eastAsia="OTNEJMQuadraat" w:hAnsiTheme="majorHAnsi" w:cs="OTNEJMQuadraat"/>
          <w:color w:val="548DD4" w:themeColor="text2" w:themeTint="99"/>
          <w:sz w:val="32"/>
          <w:szCs w:val="24"/>
        </w:rPr>
      </w:pPr>
    </w:p>
    <w:sectPr w:rsidR="00DD5276" w:rsidRPr="00481159" w:rsidSect="00FB52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OTNEJMQuadraat-Italic">
    <w:altName w:val="Times New Roman"/>
    <w:panose1 w:val="00000000000000000000"/>
    <w:charset w:val="A3"/>
    <w:family w:val="roman"/>
    <w:notTrueType/>
    <w:pitch w:val="default"/>
    <w:sig w:usb0="20000001" w:usb1="00000000" w:usb2="00000000" w:usb3="00000000" w:csb0="00000100" w:csb1="00000000"/>
  </w:font>
  <w:font w:name="OTNEJMScalaSansLFCap-Bold">
    <w:altName w:val="Arial"/>
    <w:panose1 w:val="00000000000000000000"/>
    <w:charset w:val="A3"/>
    <w:family w:val="swiss"/>
    <w:notTrueType/>
    <w:pitch w:val="default"/>
    <w:sig w:usb0="20000001" w:usb1="00000000" w:usb2="00000000" w:usb3="00000000" w:csb0="00000100" w:csb1="00000000"/>
  </w:font>
  <w:font w:name="OTNEJMScalaSansLFCap">
    <w:altName w:val="Arial"/>
    <w:panose1 w:val="00000000000000000000"/>
    <w:charset w:val="A3"/>
    <w:family w:val="swiss"/>
    <w:notTrueType/>
    <w:pitch w:val="default"/>
    <w:sig w:usb0="20000001" w:usb1="00000000" w:usb2="00000000" w:usb3="00000000" w:csb0="00000100" w:csb1="00000000"/>
  </w:font>
  <w:font w:name="OTNEJMScalaSansOSF">
    <w:altName w:val="Arial"/>
    <w:panose1 w:val="00000000000000000000"/>
    <w:charset w:val="A3"/>
    <w:family w:val="swiss"/>
    <w:notTrueType/>
    <w:pitch w:val="default"/>
    <w:sig w:usb0="20000001" w:usb1="00000000" w:usb2="00000000" w:usb3="00000000" w:csb0="00000100" w:csb1="00000000"/>
  </w:font>
  <w:font w:name="OTNEJMQuadraatCap">
    <w:altName w:val="Times New Roman"/>
    <w:panose1 w:val="00000000000000000000"/>
    <w:charset w:val="A3"/>
    <w:family w:val="roman"/>
    <w:notTrueType/>
    <w:pitch w:val="default"/>
    <w:sig w:usb0="20000001" w:usb1="00000000" w:usb2="00000000" w:usb3="00000000" w:csb0="00000100" w:csb1="00000000"/>
  </w:font>
  <w:font w:name="OTNEJMScalaSansLF-Bold">
    <w:altName w:val="Arial"/>
    <w:panose1 w:val="00000000000000000000"/>
    <w:charset w:val="A3"/>
    <w:family w:val="swiss"/>
    <w:notTrueType/>
    <w:pitch w:val="default"/>
    <w:sig w:usb0="20000001" w:usb1="00000000" w:usb2="00000000" w:usb3="00000000" w:csb0="00000101" w:csb1="00000000"/>
  </w:font>
  <w:font w:name="OTNEJMQuadraat">
    <w:altName w:val="Arial Unicode MS"/>
    <w:panose1 w:val="00000000000000000000"/>
    <w:charset w:val="86"/>
    <w:family w:val="roman"/>
    <w:notTrueType/>
    <w:pitch w:val="default"/>
    <w:sig w:usb0="00000000" w:usb1="080E0000" w:usb2="00000010" w:usb3="00000000" w:csb0="00040000" w:csb1="00000000"/>
  </w:font>
  <w:font w:name="OTNEJMScalaSansLF">
    <w:altName w:val="Arial"/>
    <w:panose1 w:val="00000000000000000000"/>
    <w:charset w:val="A3"/>
    <w:family w:val="swiss"/>
    <w:notTrueType/>
    <w:pitch w:val="default"/>
    <w:sig w:usb0="20000001" w:usb1="00000000" w:usb2="00000000" w:usb3="00000000" w:csb0="00000101" w:csb1="00000000"/>
  </w:font>
  <w:font w:name="OTNEJMQuadraatSmallCap">
    <w:altName w:val="Times New Roman"/>
    <w:panose1 w:val="00000000000000000000"/>
    <w:charset w:val="A3"/>
    <w:family w:val="roman"/>
    <w:notTrueType/>
    <w:pitch w:val="default"/>
    <w:sig w:usb0="20000001" w:usb1="00000000" w:usb2="00000000" w:usb3="00000000" w:csb0="00000100" w:csb1="00000000"/>
  </w:font>
  <w:font w:name="OTNEJMScalaSansLF-Italic">
    <w:altName w:val="Arial"/>
    <w:panose1 w:val="00000000000000000000"/>
    <w:charset w:val="A3"/>
    <w:family w:val="swiss"/>
    <w:notTrueType/>
    <w:pitch w:val="default"/>
    <w:sig w:usb0="20000001" w:usb1="00000000" w:usb2="00000000" w:usb3="00000000" w:csb0="000001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283"/>
  <w:characterSpacingControl w:val="doNotCompress"/>
  <w:compat/>
  <w:rsids>
    <w:rsidRoot w:val="001C352F"/>
    <w:rsid w:val="00003274"/>
    <w:rsid w:val="00006A6E"/>
    <w:rsid w:val="00010C83"/>
    <w:rsid w:val="000158FE"/>
    <w:rsid w:val="000E223C"/>
    <w:rsid w:val="00106E80"/>
    <w:rsid w:val="00107818"/>
    <w:rsid w:val="001168BD"/>
    <w:rsid w:val="001761B7"/>
    <w:rsid w:val="0019376C"/>
    <w:rsid w:val="001B3820"/>
    <w:rsid w:val="001C352F"/>
    <w:rsid w:val="001D466E"/>
    <w:rsid w:val="001D7365"/>
    <w:rsid w:val="002023DA"/>
    <w:rsid w:val="00242856"/>
    <w:rsid w:val="0024760F"/>
    <w:rsid w:val="00262548"/>
    <w:rsid w:val="002816C3"/>
    <w:rsid w:val="003259BD"/>
    <w:rsid w:val="003F61E7"/>
    <w:rsid w:val="00437667"/>
    <w:rsid w:val="00452FF0"/>
    <w:rsid w:val="00481142"/>
    <w:rsid w:val="00481159"/>
    <w:rsid w:val="004859AF"/>
    <w:rsid w:val="004C0A1B"/>
    <w:rsid w:val="00507E09"/>
    <w:rsid w:val="00511B42"/>
    <w:rsid w:val="00556C88"/>
    <w:rsid w:val="005B32B4"/>
    <w:rsid w:val="005D5AB4"/>
    <w:rsid w:val="005E5329"/>
    <w:rsid w:val="00627554"/>
    <w:rsid w:val="0064409B"/>
    <w:rsid w:val="00650BBD"/>
    <w:rsid w:val="006A5810"/>
    <w:rsid w:val="006A6766"/>
    <w:rsid w:val="006B4837"/>
    <w:rsid w:val="006E24AD"/>
    <w:rsid w:val="007044F9"/>
    <w:rsid w:val="00754E1D"/>
    <w:rsid w:val="00775C08"/>
    <w:rsid w:val="00777F4E"/>
    <w:rsid w:val="007D50B1"/>
    <w:rsid w:val="007F5C3A"/>
    <w:rsid w:val="00871305"/>
    <w:rsid w:val="008C6FB2"/>
    <w:rsid w:val="008D2248"/>
    <w:rsid w:val="00913AC7"/>
    <w:rsid w:val="00916B3A"/>
    <w:rsid w:val="00952416"/>
    <w:rsid w:val="009A027A"/>
    <w:rsid w:val="009D7A4B"/>
    <w:rsid w:val="009E55B6"/>
    <w:rsid w:val="00A83251"/>
    <w:rsid w:val="00AC3F2C"/>
    <w:rsid w:val="00AE22C2"/>
    <w:rsid w:val="00AF6F2B"/>
    <w:rsid w:val="00AF7050"/>
    <w:rsid w:val="00B27336"/>
    <w:rsid w:val="00B4189C"/>
    <w:rsid w:val="00B4245F"/>
    <w:rsid w:val="00B81D85"/>
    <w:rsid w:val="00B82A6C"/>
    <w:rsid w:val="00C05022"/>
    <w:rsid w:val="00C13F51"/>
    <w:rsid w:val="00C16F22"/>
    <w:rsid w:val="00C24763"/>
    <w:rsid w:val="00C36515"/>
    <w:rsid w:val="00C36C80"/>
    <w:rsid w:val="00C63B70"/>
    <w:rsid w:val="00C66F1A"/>
    <w:rsid w:val="00C71278"/>
    <w:rsid w:val="00CA1D04"/>
    <w:rsid w:val="00D0241A"/>
    <w:rsid w:val="00D164B6"/>
    <w:rsid w:val="00D70168"/>
    <w:rsid w:val="00DC1D50"/>
    <w:rsid w:val="00DD5276"/>
    <w:rsid w:val="00DE0565"/>
    <w:rsid w:val="00DE6603"/>
    <w:rsid w:val="00E17677"/>
    <w:rsid w:val="00EA285F"/>
    <w:rsid w:val="00F04C24"/>
    <w:rsid w:val="00F27C98"/>
    <w:rsid w:val="00FA77DF"/>
    <w:rsid w:val="00FA77E0"/>
    <w:rsid w:val="00FB5200"/>
    <w:rsid w:val="00FC1913"/>
    <w:rsid w:val="00FD13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5200"/>
  </w:style>
  <w:style w:type="paragraph" w:styleId="Titolo1">
    <w:name w:val="heading 1"/>
    <w:basedOn w:val="Normale"/>
    <w:next w:val="Normale"/>
    <w:link w:val="Titolo1Carattere"/>
    <w:uiPriority w:val="9"/>
    <w:qFormat/>
    <w:rsid w:val="002023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3DA"/>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3F61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61E7"/>
    <w:rPr>
      <w:rFonts w:ascii="Tahoma" w:hAnsi="Tahoma" w:cs="Tahoma"/>
      <w:sz w:val="16"/>
      <w:szCs w:val="16"/>
    </w:rPr>
  </w:style>
  <w:style w:type="character" w:styleId="Collegamentoipertestuale">
    <w:name w:val="Hyperlink"/>
    <w:basedOn w:val="Carpredefinitoparagrafo"/>
    <w:uiPriority w:val="99"/>
    <w:unhideWhenUsed/>
    <w:rsid w:val="00010C83"/>
    <w:rPr>
      <w:color w:val="0000FF" w:themeColor="hyperlink"/>
      <w:u w:val="single"/>
    </w:rPr>
  </w:style>
  <w:style w:type="character" w:styleId="Collegamentovisitato">
    <w:name w:val="FollowedHyperlink"/>
    <w:basedOn w:val="Carpredefinitoparagrafo"/>
    <w:uiPriority w:val="99"/>
    <w:semiHidden/>
    <w:unhideWhenUsed/>
    <w:rsid w:val="00B81D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2023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3DA"/>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3F61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61E7"/>
    <w:rPr>
      <w:rFonts w:ascii="Tahoma" w:hAnsi="Tahoma" w:cs="Tahoma"/>
      <w:sz w:val="16"/>
      <w:szCs w:val="16"/>
    </w:rPr>
  </w:style>
  <w:style w:type="character" w:styleId="Collegamentoipertestuale">
    <w:name w:val="Hyperlink"/>
    <w:basedOn w:val="Carpredefinitoparagrafo"/>
    <w:uiPriority w:val="99"/>
    <w:unhideWhenUsed/>
    <w:rsid w:val="00010C83"/>
    <w:rPr>
      <w:color w:val="0000FF" w:themeColor="hyperlink"/>
      <w:u w:val="single"/>
    </w:rPr>
  </w:style>
  <w:style w:type="character" w:styleId="Collegamentovisitato">
    <w:name w:val="FollowedHyperlink"/>
    <w:basedOn w:val="Carpredefinitoparagrafo"/>
    <w:uiPriority w:val="99"/>
    <w:semiHidden/>
    <w:unhideWhenUsed/>
    <w:rsid w:val="00B81D8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rekalert.org/pub_releases/2013-01/uoc--act012213.php" TargetMode="External"/><Relationship Id="rId5" Type="http://schemas.openxmlformats.org/officeDocument/2006/relationships/image" Target="media/image1.emf"/><Relationship Id="rId10" Type="http://schemas.microsoft.com/office/2007/relationships/stylesWithEffects" Target="stylesWithEffects.xml"/><Relationship Id="rId4" Type="http://schemas.openxmlformats.org/officeDocument/2006/relationships/hyperlink" Target="http://www.iom.edu/510kproces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4558</Words>
  <Characters>25987</Characters>
  <Application>Microsoft Office Word</Application>
  <DocSecurity>0</DocSecurity>
  <Lines>216</Lines>
  <Paragraphs>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Gimigliano</cp:lastModifiedBy>
  <cp:revision>4</cp:revision>
  <dcterms:created xsi:type="dcterms:W3CDTF">2013-01-25T08:44:00Z</dcterms:created>
  <dcterms:modified xsi:type="dcterms:W3CDTF">2013-09-11T07:05:00Z</dcterms:modified>
</cp:coreProperties>
</file>