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18" w:rsidRPr="00B03918" w:rsidRDefault="00B03918" w:rsidP="00B03918">
      <w:pPr>
        <w:jc w:val="both"/>
        <w:rPr>
          <w:b/>
          <w:sz w:val="28"/>
          <w:szCs w:val="28"/>
          <w:lang w:val="it-IT"/>
        </w:rPr>
      </w:pPr>
      <w:r w:rsidRPr="00B03918">
        <w:rPr>
          <w:b/>
          <w:sz w:val="24"/>
          <w:szCs w:val="24"/>
          <w:lang w:val="it-IT"/>
        </w:rPr>
        <w:t xml:space="preserve"> </w:t>
      </w:r>
      <w:r w:rsidRPr="00B03918">
        <w:rPr>
          <w:b/>
          <w:sz w:val="28"/>
          <w:szCs w:val="28"/>
          <w:lang w:val="it-IT"/>
        </w:rPr>
        <w:t xml:space="preserve">Una </w:t>
      </w:r>
      <w:proofErr w:type="spellStart"/>
      <w:r w:rsidRPr="00B03918">
        <w:rPr>
          <w:b/>
          <w:sz w:val="28"/>
          <w:szCs w:val="28"/>
          <w:lang w:val="it-IT"/>
        </w:rPr>
        <w:t>review</w:t>
      </w:r>
      <w:proofErr w:type="spellEnd"/>
      <w:r w:rsidRPr="00B03918">
        <w:rPr>
          <w:b/>
          <w:sz w:val="28"/>
          <w:szCs w:val="28"/>
          <w:lang w:val="it-IT"/>
        </w:rPr>
        <w:t xml:space="preserve"> su larga scala trova le condizioni associate all’infezione ed alla mortalità nei pazienti con artroplastica di femore. </w:t>
      </w:r>
    </w:p>
    <w:p w:rsidR="00384296" w:rsidRPr="00B03918" w:rsidRDefault="00B03918" w:rsidP="00B03918">
      <w:pPr>
        <w:jc w:val="center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Jonathan S. </w:t>
      </w:r>
      <w:proofErr w:type="spellStart"/>
      <w:r w:rsidRPr="00B03918">
        <w:rPr>
          <w:sz w:val="24"/>
          <w:szCs w:val="24"/>
          <w:lang w:val="it-IT"/>
        </w:rPr>
        <w:t>Batchelor</w:t>
      </w:r>
      <w:proofErr w:type="spellEnd"/>
    </w:p>
    <w:p w:rsidR="0092724F" w:rsidRPr="00B03918" w:rsidRDefault="0080430E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Una </w:t>
      </w:r>
      <w:proofErr w:type="spellStart"/>
      <w:r w:rsidRPr="00B03918">
        <w:rPr>
          <w:sz w:val="24"/>
          <w:szCs w:val="24"/>
          <w:lang w:val="it-IT"/>
        </w:rPr>
        <w:t>review</w:t>
      </w:r>
      <w:proofErr w:type="spellEnd"/>
      <w:r w:rsidRPr="00B03918">
        <w:rPr>
          <w:sz w:val="24"/>
          <w:szCs w:val="24"/>
          <w:lang w:val="it-IT"/>
        </w:rPr>
        <w:t xml:space="preserve"> del Medicare afferma di aver identificato specifiche </w:t>
      </w:r>
      <w:proofErr w:type="spellStart"/>
      <w:r w:rsidRPr="00B03918">
        <w:rPr>
          <w:sz w:val="24"/>
          <w:szCs w:val="24"/>
          <w:lang w:val="it-IT"/>
        </w:rPr>
        <w:t>comorbidità</w:t>
      </w:r>
      <w:proofErr w:type="spellEnd"/>
      <w:r w:rsidRPr="00B03918">
        <w:rPr>
          <w:sz w:val="24"/>
          <w:szCs w:val="24"/>
          <w:lang w:val="it-IT"/>
        </w:rPr>
        <w:t xml:space="preserve"> associat</w:t>
      </w:r>
      <w:r w:rsidR="00E966F3" w:rsidRPr="00B03918">
        <w:rPr>
          <w:sz w:val="24"/>
          <w:szCs w:val="24"/>
          <w:lang w:val="it-IT"/>
        </w:rPr>
        <w:t>e ad un aumentato rischio di</w:t>
      </w:r>
      <w:r w:rsidRPr="00B03918">
        <w:rPr>
          <w:sz w:val="24"/>
          <w:szCs w:val="24"/>
          <w:lang w:val="it-IT"/>
        </w:rPr>
        <w:t xml:space="preserve"> infezioni </w:t>
      </w:r>
      <w:proofErr w:type="spellStart"/>
      <w:r w:rsidRPr="00B03918">
        <w:rPr>
          <w:sz w:val="24"/>
          <w:szCs w:val="24"/>
          <w:lang w:val="it-IT"/>
        </w:rPr>
        <w:t>periprotesiche</w:t>
      </w:r>
      <w:proofErr w:type="spellEnd"/>
      <w:r w:rsidR="00E966F3" w:rsidRPr="00B03918">
        <w:rPr>
          <w:sz w:val="24"/>
          <w:szCs w:val="24"/>
          <w:lang w:val="it-IT"/>
        </w:rPr>
        <w:t xml:space="preserve"> e di</w:t>
      </w:r>
      <w:r w:rsidRPr="00B03918">
        <w:rPr>
          <w:sz w:val="24"/>
          <w:szCs w:val="24"/>
          <w:lang w:val="it-IT"/>
        </w:rPr>
        <w:t xml:space="preserve"> mortalità nei 90 giorni successivi all’intervento di artroplastica totale del femore in accordo con i risultati pubblicati sul Journal </w:t>
      </w:r>
      <w:proofErr w:type="spellStart"/>
      <w:r w:rsidRPr="00B03918">
        <w:rPr>
          <w:sz w:val="24"/>
          <w:szCs w:val="24"/>
          <w:lang w:val="it-IT"/>
        </w:rPr>
        <w:t>of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Bone</w:t>
      </w:r>
      <w:proofErr w:type="spellEnd"/>
      <w:r w:rsidRPr="00B03918">
        <w:rPr>
          <w:sz w:val="24"/>
          <w:szCs w:val="24"/>
          <w:lang w:val="it-IT"/>
        </w:rPr>
        <w:t xml:space="preserve"> and Joint </w:t>
      </w:r>
      <w:proofErr w:type="spellStart"/>
      <w:r w:rsidRPr="00B03918">
        <w:rPr>
          <w:sz w:val="24"/>
          <w:szCs w:val="24"/>
          <w:lang w:val="it-IT"/>
        </w:rPr>
        <w:t>Surgery</w:t>
      </w:r>
      <w:proofErr w:type="spellEnd"/>
      <w:r w:rsidRPr="00B03918">
        <w:rPr>
          <w:sz w:val="24"/>
          <w:szCs w:val="24"/>
          <w:lang w:val="it-IT"/>
        </w:rPr>
        <w:t>.</w:t>
      </w:r>
    </w:p>
    <w:p w:rsidR="00D3155D" w:rsidRPr="00B03918" w:rsidRDefault="0080430E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Il primo autore di questo studio, Kevin </w:t>
      </w:r>
      <w:proofErr w:type="spellStart"/>
      <w:r w:rsidRPr="00B03918">
        <w:rPr>
          <w:sz w:val="24"/>
          <w:szCs w:val="24"/>
          <w:lang w:val="it-IT"/>
        </w:rPr>
        <w:t>Bozic</w:t>
      </w:r>
      <w:proofErr w:type="spellEnd"/>
      <w:r w:rsidRPr="00B03918">
        <w:rPr>
          <w:sz w:val="24"/>
          <w:szCs w:val="24"/>
          <w:lang w:val="it-IT"/>
        </w:rPr>
        <w:t>, MD, MBA, Professore Associato e vice presidente del Dipartimento di Chirurgia Ortopedica presso l’Università della California, S</w:t>
      </w:r>
      <w:r w:rsidR="00E966F3" w:rsidRPr="00B03918">
        <w:rPr>
          <w:sz w:val="24"/>
          <w:szCs w:val="24"/>
          <w:lang w:val="it-IT"/>
        </w:rPr>
        <w:t>an Francisco (MEDSCAPE) dichiara</w:t>
      </w:r>
      <w:r w:rsidR="00D3155D" w:rsidRPr="00B03918">
        <w:rPr>
          <w:sz w:val="24"/>
          <w:szCs w:val="24"/>
          <w:lang w:val="it-IT"/>
        </w:rPr>
        <w:t xml:space="preserve"> che l</w:t>
      </w:r>
      <w:r w:rsidRPr="00B03918">
        <w:rPr>
          <w:sz w:val="24"/>
          <w:szCs w:val="24"/>
          <w:lang w:val="it-IT"/>
        </w:rPr>
        <w:t>’artroplastica totale del femore è una delle procedure più comuni che vengono eseguite negli Sta</w:t>
      </w:r>
      <w:r w:rsidR="00E966F3" w:rsidRPr="00B03918">
        <w:rPr>
          <w:sz w:val="24"/>
          <w:szCs w:val="24"/>
          <w:lang w:val="it-IT"/>
        </w:rPr>
        <w:t>ti Uniti ed è quella maggiormente</w:t>
      </w:r>
      <w:r w:rsidRPr="00B03918">
        <w:rPr>
          <w:sz w:val="24"/>
          <w:szCs w:val="24"/>
          <w:lang w:val="it-IT"/>
        </w:rPr>
        <w:t xml:space="preserve"> eseguita sui pazienti assistiti dal Medicare</w:t>
      </w:r>
      <w:r w:rsidR="00E966F3" w:rsidRPr="00B03918">
        <w:rPr>
          <w:sz w:val="24"/>
          <w:szCs w:val="24"/>
          <w:lang w:val="it-IT"/>
        </w:rPr>
        <w:t>. Generalmente, questo tipo di intervento è</w:t>
      </w:r>
      <w:r w:rsidR="000114A6" w:rsidRPr="00B03918">
        <w:rPr>
          <w:sz w:val="24"/>
          <w:szCs w:val="24"/>
          <w:lang w:val="it-IT"/>
        </w:rPr>
        <w:t xml:space="preserve"> co</w:t>
      </w:r>
      <w:r w:rsidR="00E966F3" w:rsidRPr="00B03918">
        <w:rPr>
          <w:sz w:val="24"/>
          <w:szCs w:val="24"/>
          <w:lang w:val="it-IT"/>
        </w:rPr>
        <w:t>ronato</w:t>
      </w:r>
      <w:r w:rsidR="00D3155D" w:rsidRPr="00B03918">
        <w:rPr>
          <w:sz w:val="24"/>
          <w:szCs w:val="24"/>
          <w:lang w:val="it-IT"/>
        </w:rPr>
        <w:t xml:space="preserve"> dal successo in quanto si</w:t>
      </w:r>
      <w:r w:rsidR="000114A6" w:rsidRPr="00B03918">
        <w:rPr>
          <w:sz w:val="24"/>
          <w:szCs w:val="24"/>
          <w:lang w:val="it-IT"/>
        </w:rPr>
        <w:t xml:space="preserve"> migliora la qualità della vita, la funzione, si rid</w:t>
      </w:r>
      <w:r w:rsidR="00D3155D" w:rsidRPr="00B03918">
        <w:rPr>
          <w:sz w:val="24"/>
          <w:szCs w:val="24"/>
          <w:lang w:val="it-IT"/>
        </w:rPr>
        <w:t>uce</w:t>
      </w:r>
      <w:r w:rsidR="000114A6" w:rsidRPr="00B03918">
        <w:rPr>
          <w:sz w:val="24"/>
          <w:szCs w:val="24"/>
          <w:lang w:val="it-IT"/>
        </w:rPr>
        <w:t xml:space="preserve"> i</w:t>
      </w:r>
      <w:r w:rsidR="00D3155D" w:rsidRPr="00B03918">
        <w:rPr>
          <w:sz w:val="24"/>
          <w:szCs w:val="24"/>
          <w:lang w:val="it-IT"/>
        </w:rPr>
        <w:t xml:space="preserve">l dolore e si restituisce </w:t>
      </w:r>
      <w:r w:rsidR="00E966F3" w:rsidRPr="00B03918">
        <w:rPr>
          <w:sz w:val="24"/>
          <w:szCs w:val="24"/>
          <w:lang w:val="it-IT"/>
        </w:rPr>
        <w:t xml:space="preserve">ai pazienti </w:t>
      </w:r>
      <w:r w:rsidR="00D3155D" w:rsidRPr="00B03918">
        <w:rPr>
          <w:sz w:val="24"/>
          <w:szCs w:val="24"/>
          <w:lang w:val="it-IT"/>
        </w:rPr>
        <w:t>uno stile di v</w:t>
      </w:r>
      <w:r w:rsidR="00E966F3" w:rsidRPr="00B03918">
        <w:rPr>
          <w:sz w:val="24"/>
          <w:szCs w:val="24"/>
          <w:lang w:val="it-IT"/>
        </w:rPr>
        <w:t>ita attiva</w:t>
      </w:r>
      <w:r w:rsidR="00D3155D" w:rsidRPr="00B03918">
        <w:rPr>
          <w:sz w:val="24"/>
          <w:szCs w:val="24"/>
          <w:lang w:val="it-IT"/>
        </w:rPr>
        <w:t>.</w:t>
      </w:r>
    </w:p>
    <w:p w:rsidR="000114A6" w:rsidRPr="00B03918" w:rsidRDefault="00D3155D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Ciononostante, esistono </w:t>
      </w:r>
      <w:r w:rsidR="000114A6" w:rsidRPr="00B03918">
        <w:rPr>
          <w:sz w:val="24"/>
          <w:szCs w:val="24"/>
          <w:lang w:val="it-IT"/>
        </w:rPr>
        <w:t>delle complicanze drammatiche che possono sopraggiungere, ivi incluse infezioni e morte.</w:t>
      </w:r>
    </w:p>
    <w:p w:rsidR="000114A6" w:rsidRPr="00B03918" w:rsidRDefault="00665904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I</w:t>
      </w:r>
      <w:r w:rsidR="000114A6" w:rsidRPr="00B03918">
        <w:rPr>
          <w:sz w:val="24"/>
          <w:szCs w:val="24"/>
          <w:lang w:val="it-IT"/>
        </w:rPr>
        <w:t xml:space="preserve"> </w:t>
      </w:r>
      <w:r w:rsidRPr="00B03918">
        <w:rPr>
          <w:sz w:val="24"/>
          <w:szCs w:val="24"/>
          <w:lang w:val="it-IT"/>
        </w:rPr>
        <w:t xml:space="preserve">fisiatri utilizzano i </w:t>
      </w:r>
      <w:r w:rsidR="000114A6" w:rsidRPr="00B03918">
        <w:rPr>
          <w:sz w:val="24"/>
          <w:szCs w:val="24"/>
          <w:lang w:val="it-IT"/>
        </w:rPr>
        <w:t>sistemi rischio-stratificazione</w:t>
      </w:r>
      <w:r w:rsidRPr="00B03918">
        <w:rPr>
          <w:sz w:val="24"/>
          <w:szCs w:val="24"/>
          <w:lang w:val="it-IT"/>
        </w:rPr>
        <w:t xml:space="preserve"> ma nessuno fra questi</w:t>
      </w:r>
      <w:r w:rsidR="000114A6" w:rsidRPr="00B03918">
        <w:rPr>
          <w:sz w:val="24"/>
          <w:szCs w:val="24"/>
          <w:lang w:val="it-IT"/>
        </w:rPr>
        <w:t xml:space="preserve"> è stato validato nei pazienti sottoposti ad artroplastica totale di femore. Il dottor </w:t>
      </w:r>
      <w:proofErr w:type="spellStart"/>
      <w:r w:rsidR="000114A6" w:rsidRPr="00B03918">
        <w:rPr>
          <w:sz w:val="24"/>
          <w:szCs w:val="24"/>
          <w:lang w:val="it-IT"/>
        </w:rPr>
        <w:t>Bozic</w:t>
      </w:r>
      <w:proofErr w:type="spellEnd"/>
      <w:r w:rsidR="000114A6" w:rsidRPr="00B03918">
        <w:rPr>
          <w:sz w:val="24"/>
          <w:szCs w:val="24"/>
          <w:lang w:val="it-IT"/>
        </w:rPr>
        <w:t xml:space="preserve"> e colle</w:t>
      </w:r>
      <w:r w:rsidR="0075608D" w:rsidRPr="00B03918">
        <w:rPr>
          <w:sz w:val="24"/>
          <w:szCs w:val="24"/>
          <w:lang w:val="it-IT"/>
        </w:rPr>
        <w:t>ghi hanno utilizzato il 5% delle</w:t>
      </w:r>
      <w:r w:rsidR="000114A6" w:rsidRPr="00B03918">
        <w:rPr>
          <w:sz w:val="24"/>
          <w:szCs w:val="24"/>
          <w:lang w:val="it-IT"/>
        </w:rPr>
        <w:t xml:space="preserve"> dichiarazioni contenute nel database del MEDICARE per calcolare il rischio riguardante le infezioni </w:t>
      </w:r>
      <w:proofErr w:type="spellStart"/>
      <w:r w:rsidR="000114A6" w:rsidRPr="00B03918">
        <w:rPr>
          <w:sz w:val="24"/>
          <w:szCs w:val="24"/>
          <w:lang w:val="it-IT"/>
        </w:rPr>
        <w:t>periprotesiche</w:t>
      </w:r>
      <w:proofErr w:type="spellEnd"/>
      <w:r w:rsidR="000114A6" w:rsidRPr="00B03918">
        <w:rPr>
          <w:sz w:val="24"/>
          <w:szCs w:val="24"/>
          <w:lang w:val="it-IT"/>
        </w:rPr>
        <w:t xml:space="preserve"> e la mortalità a 90 giorni dall’intervento chirurgico.</w:t>
      </w:r>
    </w:p>
    <w:p w:rsidR="0075608D" w:rsidRPr="00B03918" w:rsidRDefault="000114A6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 </w:t>
      </w:r>
      <w:r w:rsidR="00665904" w:rsidRPr="00B03918">
        <w:rPr>
          <w:sz w:val="24"/>
          <w:szCs w:val="24"/>
          <w:lang w:val="it-IT"/>
        </w:rPr>
        <w:t>Questo studio si propone di revisionar</w:t>
      </w:r>
      <w:r w:rsidR="00D96353" w:rsidRPr="00B03918">
        <w:rPr>
          <w:sz w:val="24"/>
          <w:szCs w:val="24"/>
          <w:lang w:val="it-IT"/>
        </w:rPr>
        <w:t>e i</w:t>
      </w:r>
      <w:r w:rsidR="00665904" w:rsidRPr="00B03918">
        <w:rPr>
          <w:sz w:val="24"/>
          <w:szCs w:val="24"/>
          <w:lang w:val="it-IT"/>
        </w:rPr>
        <w:t>l codice 27130 (artroplastica primaria totale del femore) dell’ ICD-9</w:t>
      </w:r>
      <w:r w:rsidR="00D96353" w:rsidRPr="00B03918">
        <w:rPr>
          <w:sz w:val="24"/>
          <w:szCs w:val="24"/>
          <w:lang w:val="it-IT"/>
        </w:rPr>
        <w:t>:</w:t>
      </w:r>
      <w:r w:rsidR="0075608D" w:rsidRPr="00B03918">
        <w:rPr>
          <w:sz w:val="24"/>
          <w:szCs w:val="24"/>
          <w:lang w:val="it-IT"/>
        </w:rPr>
        <w:t xml:space="preserve"> </w:t>
      </w:r>
      <w:r w:rsidR="00665904" w:rsidRPr="00B03918">
        <w:rPr>
          <w:sz w:val="24"/>
          <w:szCs w:val="24"/>
          <w:lang w:val="it-IT"/>
        </w:rPr>
        <w:t xml:space="preserve">sono stati  estrapolati </w:t>
      </w:r>
      <w:r w:rsidR="0075608D" w:rsidRPr="00B03918">
        <w:rPr>
          <w:sz w:val="24"/>
          <w:szCs w:val="24"/>
          <w:lang w:val="it-IT"/>
        </w:rPr>
        <w:t>attraverso il database</w:t>
      </w:r>
      <w:r w:rsidR="00665904" w:rsidRPr="00B03918">
        <w:rPr>
          <w:sz w:val="24"/>
          <w:szCs w:val="24"/>
          <w:lang w:val="it-IT"/>
        </w:rPr>
        <w:t xml:space="preserve"> 40.919 pazienti sottoposti ad artroplastica totale di femore fra il 1998 e il 2007. Sono stati inclusi sia soggetti ricoverati che in regime di </w:t>
      </w:r>
      <w:proofErr w:type="spellStart"/>
      <w:r w:rsidR="00665904" w:rsidRPr="00B03918">
        <w:rPr>
          <w:sz w:val="24"/>
          <w:szCs w:val="24"/>
          <w:lang w:val="it-IT"/>
        </w:rPr>
        <w:t>Day</w:t>
      </w:r>
      <w:proofErr w:type="spellEnd"/>
      <w:r w:rsidR="00665904" w:rsidRPr="00B03918">
        <w:rPr>
          <w:sz w:val="24"/>
          <w:szCs w:val="24"/>
          <w:lang w:val="it-IT"/>
        </w:rPr>
        <w:t xml:space="preserve"> Hospital e per tutti sono state analizzate le </w:t>
      </w:r>
      <w:proofErr w:type="spellStart"/>
      <w:r w:rsidR="00665904" w:rsidRPr="00B03918">
        <w:rPr>
          <w:sz w:val="24"/>
          <w:szCs w:val="24"/>
          <w:lang w:val="it-IT"/>
        </w:rPr>
        <w:t>comorbidità</w:t>
      </w:r>
      <w:proofErr w:type="spellEnd"/>
      <w:r w:rsidR="00665904" w:rsidRPr="00B03918">
        <w:rPr>
          <w:sz w:val="24"/>
          <w:szCs w:val="24"/>
          <w:lang w:val="it-IT"/>
        </w:rPr>
        <w:t xml:space="preserve"> relative ai 12 mesi precedenti l’artroplastica di femore; i pazienti di età inferiore a 65 anni</w:t>
      </w:r>
      <w:r w:rsidR="0075608D" w:rsidRPr="00B03918">
        <w:rPr>
          <w:sz w:val="24"/>
          <w:szCs w:val="24"/>
          <w:lang w:val="it-IT"/>
        </w:rPr>
        <w:t xml:space="preserve"> sono stati esclusi dallo studio</w:t>
      </w:r>
      <w:r w:rsidR="00665904" w:rsidRPr="00B03918">
        <w:rPr>
          <w:sz w:val="24"/>
          <w:szCs w:val="24"/>
          <w:lang w:val="it-IT"/>
        </w:rPr>
        <w:t>.</w:t>
      </w:r>
    </w:p>
    <w:p w:rsidR="00665904" w:rsidRPr="00B03918" w:rsidRDefault="00665904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Il dottor </w:t>
      </w:r>
      <w:proofErr w:type="spellStart"/>
      <w:r w:rsidRPr="00B03918">
        <w:rPr>
          <w:sz w:val="24"/>
          <w:szCs w:val="24"/>
          <w:lang w:val="it-IT"/>
        </w:rPr>
        <w:t>Bozic</w:t>
      </w:r>
      <w:proofErr w:type="spellEnd"/>
      <w:r w:rsidRPr="00B03918">
        <w:rPr>
          <w:sz w:val="24"/>
          <w:szCs w:val="24"/>
          <w:lang w:val="it-IT"/>
        </w:rPr>
        <w:t xml:space="preserve"> inoltre, ha dichiarato che “ il nostro obiettivo è stato quello di identificare il rischio specifico per consentire una discussione più </w:t>
      </w:r>
      <w:r w:rsidR="0075608D" w:rsidRPr="00B03918">
        <w:rPr>
          <w:sz w:val="24"/>
          <w:szCs w:val="24"/>
          <w:lang w:val="it-IT"/>
        </w:rPr>
        <w:t xml:space="preserve">proficua </w:t>
      </w:r>
      <w:r w:rsidRPr="00B03918">
        <w:rPr>
          <w:sz w:val="24"/>
          <w:szCs w:val="24"/>
          <w:lang w:val="it-IT"/>
        </w:rPr>
        <w:t>fra chirurgo e paziente riguardante il loro rischio individuale”.</w:t>
      </w:r>
    </w:p>
    <w:p w:rsidR="00665904" w:rsidRPr="00B03918" w:rsidRDefault="00665904" w:rsidP="0066590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Il team ha esaminato l’impatto di 29 condizioni patologiche (</w:t>
      </w:r>
      <w:proofErr w:type="spellStart"/>
      <w:r w:rsidRPr="00B03918">
        <w:rPr>
          <w:sz w:val="24"/>
          <w:szCs w:val="24"/>
          <w:lang w:val="it-IT"/>
        </w:rPr>
        <w:t>comorbidità</w:t>
      </w:r>
      <w:proofErr w:type="spellEnd"/>
      <w:r w:rsidRPr="00B03918">
        <w:rPr>
          <w:sz w:val="24"/>
          <w:szCs w:val="24"/>
          <w:lang w:val="it-IT"/>
        </w:rPr>
        <w:t xml:space="preserve">) sulle infezioni </w:t>
      </w:r>
      <w:proofErr w:type="spellStart"/>
      <w:r w:rsidRPr="00B03918">
        <w:rPr>
          <w:sz w:val="24"/>
          <w:szCs w:val="24"/>
          <w:lang w:val="it-IT"/>
        </w:rPr>
        <w:t>periprotesiche</w:t>
      </w:r>
      <w:proofErr w:type="spellEnd"/>
      <w:r w:rsidRPr="00B03918">
        <w:rPr>
          <w:sz w:val="24"/>
          <w:szCs w:val="24"/>
          <w:lang w:val="it-IT"/>
        </w:rPr>
        <w:t xml:space="preserve"> e sulla mortalità nel post-operatorio usando una regressione multivariata COX per età, sesso, razza, censimento </w:t>
      </w:r>
      <w:r w:rsidR="0075608D" w:rsidRPr="00B03918">
        <w:rPr>
          <w:sz w:val="24"/>
          <w:szCs w:val="24"/>
          <w:lang w:val="it-IT"/>
        </w:rPr>
        <w:t xml:space="preserve">per aree geografiche </w:t>
      </w:r>
      <w:r w:rsidRPr="00B03918">
        <w:rPr>
          <w:sz w:val="24"/>
          <w:szCs w:val="24"/>
          <w:lang w:val="it-IT"/>
        </w:rPr>
        <w:t xml:space="preserve">ed assistenza pubblica. È stato poi calcolato il rischio relativo grezzo e </w:t>
      </w:r>
      <w:r w:rsidR="00634EA0">
        <w:rPr>
          <w:sz w:val="24"/>
          <w:szCs w:val="24"/>
          <w:lang w:val="it-IT"/>
        </w:rPr>
        <w:t xml:space="preserve">aggiustando </w:t>
      </w:r>
      <w:r w:rsidRPr="00B03918">
        <w:rPr>
          <w:sz w:val="24"/>
          <w:szCs w:val="24"/>
          <w:lang w:val="it-IT"/>
        </w:rPr>
        <w:t>l’</w:t>
      </w:r>
      <w:proofErr w:type="spellStart"/>
      <w:r w:rsidRPr="00B03918">
        <w:rPr>
          <w:sz w:val="24"/>
          <w:szCs w:val="24"/>
          <w:lang w:val="it-IT"/>
        </w:rPr>
        <w:t>hazard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ratio</w:t>
      </w:r>
      <w:proofErr w:type="spellEnd"/>
      <w:r w:rsidRPr="00B03918">
        <w:rPr>
          <w:sz w:val="24"/>
          <w:szCs w:val="24"/>
          <w:lang w:val="it-IT"/>
        </w:rPr>
        <w:t xml:space="preserve"> (HR) per ciascuna di ess</w:t>
      </w:r>
      <w:r w:rsidR="00744C18" w:rsidRPr="00B03918">
        <w:rPr>
          <w:sz w:val="24"/>
          <w:szCs w:val="24"/>
          <w:lang w:val="it-IT"/>
        </w:rPr>
        <w:t>e. Il valore P ottenuto per l’H</w:t>
      </w:r>
      <w:r w:rsidRPr="00B03918">
        <w:rPr>
          <w:sz w:val="24"/>
          <w:szCs w:val="24"/>
          <w:lang w:val="it-IT"/>
        </w:rPr>
        <w:t>R è sta</w:t>
      </w:r>
      <w:r w:rsidR="000548B4" w:rsidRPr="00B03918">
        <w:rPr>
          <w:sz w:val="24"/>
          <w:szCs w:val="24"/>
          <w:lang w:val="it-IT"/>
        </w:rPr>
        <w:t xml:space="preserve">to usato per associare ogni singola condizione patologica con le infezioni </w:t>
      </w:r>
      <w:proofErr w:type="spellStart"/>
      <w:r w:rsidR="000548B4" w:rsidRPr="00B03918">
        <w:rPr>
          <w:sz w:val="24"/>
          <w:szCs w:val="24"/>
          <w:lang w:val="it-IT"/>
        </w:rPr>
        <w:t>periprotesiche</w:t>
      </w:r>
      <w:proofErr w:type="spellEnd"/>
      <w:r w:rsidR="000548B4" w:rsidRPr="00B03918">
        <w:rPr>
          <w:sz w:val="24"/>
          <w:szCs w:val="24"/>
          <w:lang w:val="it-IT"/>
        </w:rPr>
        <w:t xml:space="preserve"> e la morte.  </w:t>
      </w:r>
    </w:p>
    <w:p w:rsidR="000548B4" w:rsidRPr="00B03918" w:rsidRDefault="00665904" w:rsidP="000548B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 </w:t>
      </w:r>
      <w:r w:rsidR="000548B4" w:rsidRPr="00B03918">
        <w:rPr>
          <w:sz w:val="24"/>
          <w:szCs w:val="24"/>
          <w:lang w:val="it-IT"/>
        </w:rPr>
        <w:t>Gli Autori hanno notato che le infezioni nel post-operatorio e la mortalità sono eventi complessi che coinvolgono diversi fattori, e altri potenziali potrebbero portare a quei risulta</w:t>
      </w:r>
      <w:r w:rsidR="00B903BB" w:rsidRPr="00B03918">
        <w:rPr>
          <w:sz w:val="24"/>
          <w:szCs w:val="24"/>
          <w:lang w:val="it-IT"/>
        </w:rPr>
        <w:t xml:space="preserve">ti ma che potrebbero non essere </w:t>
      </w:r>
      <w:r w:rsidR="000548B4" w:rsidRPr="00B03918">
        <w:rPr>
          <w:sz w:val="24"/>
          <w:szCs w:val="24"/>
          <w:lang w:val="it-IT"/>
        </w:rPr>
        <w:t xml:space="preserve">colti </w:t>
      </w:r>
      <w:r w:rsidR="00B903BB" w:rsidRPr="00B03918">
        <w:rPr>
          <w:sz w:val="24"/>
          <w:szCs w:val="24"/>
          <w:lang w:val="it-IT"/>
        </w:rPr>
        <w:t>s</w:t>
      </w:r>
      <w:r w:rsidR="000548B4" w:rsidRPr="00B03918">
        <w:rPr>
          <w:sz w:val="24"/>
          <w:szCs w:val="24"/>
          <w:lang w:val="it-IT"/>
        </w:rPr>
        <w:t xml:space="preserve">e nelle loro analisi vengono considerate soltanto le </w:t>
      </w:r>
      <w:proofErr w:type="spellStart"/>
      <w:r w:rsidR="000548B4" w:rsidRPr="00B03918">
        <w:rPr>
          <w:sz w:val="24"/>
          <w:szCs w:val="24"/>
          <w:lang w:val="it-IT"/>
        </w:rPr>
        <w:t>comorbidità</w:t>
      </w:r>
      <w:proofErr w:type="spellEnd"/>
      <w:r w:rsidR="00B903BB" w:rsidRPr="00B03918">
        <w:rPr>
          <w:sz w:val="24"/>
          <w:szCs w:val="24"/>
          <w:lang w:val="it-IT"/>
        </w:rPr>
        <w:t>.</w:t>
      </w:r>
    </w:p>
    <w:p w:rsidR="000548B4" w:rsidRPr="00B03918" w:rsidRDefault="000548B4" w:rsidP="000548B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I ricercatori h</w:t>
      </w:r>
      <w:r w:rsidR="008A08D5">
        <w:rPr>
          <w:sz w:val="24"/>
          <w:szCs w:val="24"/>
          <w:lang w:val="it-IT"/>
        </w:rPr>
        <w:t>anno scoperto che la top</w:t>
      </w:r>
      <w:r w:rsidRPr="00B03918">
        <w:rPr>
          <w:sz w:val="24"/>
          <w:szCs w:val="24"/>
          <w:lang w:val="it-IT"/>
        </w:rPr>
        <w:t xml:space="preserve"> 4 </w:t>
      </w:r>
      <w:r w:rsidR="008A08D5">
        <w:rPr>
          <w:sz w:val="24"/>
          <w:szCs w:val="24"/>
          <w:lang w:val="it-IT"/>
        </w:rPr>
        <w:t xml:space="preserve">fra le </w:t>
      </w:r>
      <w:r w:rsidRPr="00B03918">
        <w:rPr>
          <w:sz w:val="24"/>
          <w:szCs w:val="24"/>
          <w:lang w:val="it-IT"/>
        </w:rPr>
        <w:t xml:space="preserve">condizioni di </w:t>
      </w:r>
      <w:proofErr w:type="spellStart"/>
      <w:r w:rsidRPr="00B03918">
        <w:rPr>
          <w:sz w:val="24"/>
          <w:szCs w:val="24"/>
          <w:lang w:val="it-IT"/>
        </w:rPr>
        <w:t>comorbidità</w:t>
      </w:r>
      <w:proofErr w:type="spellEnd"/>
      <w:r w:rsidRPr="00B03918">
        <w:rPr>
          <w:sz w:val="24"/>
          <w:szCs w:val="24"/>
          <w:lang w:val="it-IT"/>
        </w:rPr>
        <w:t xml:space="preserve"> che mettono il paziente a rischio di infezioni </w:t>
      </w:r>
      <w:proofErr w:type="spellStart"/>
      <w:r w:rsidRPr="00B03918">
        <w:rPr>
          <w:sz w:val="24"/>
          <w:szCs w:val="24"/>
          <w:lang w:val="it-IT"/>
        </w:rPr>
        <w:t>periprotesiche</w:t>
      </w:r>
      <w:proofErr w:type="spellEnd"/>
      <w:r w:rsidRPr="00B03918">
        <w:rPr>
          <w:sz w:val="24"/>
          <w:szCs w:val="24"/>
          <w:lang w:val="it-IT"/>
        </w:rPr>
        <w:t xml:space="preserve"> del femore</w:t>
      </w:r>
      <w:r w:rsidR="008A08D5">
        <w:rPr>
          <w:sz w:val="24"/>
          <w:szCs w:val="24"/>
          <w:lang w:val="it-IT"/>
        </w:rPr>
        <w:t xml:space="preserve"> sono</w:t>
      </w:r>
      <w:r w:rsidRPr="00B03918">
        <w:rPr>
          <w:sz w:val="24"/>
          <w:szCs w:val="24"/>
          <w:lang w:val="it-IT"/>
        </w:rPr>
        <w:t>:</w:t>
      </w:r>
    </w:p>
    <w:p w:rsidR="000548B4" w:rsidRPr="00B03918" w:rsidRDefault="000548B4" w:rsidP="000548B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Malattie reumatologiche (HR aggiustato = 1.71; 95%, 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>] 1.42-2.06, P &lt; .0001)</w:t>
      </w:r>
    </w:p>
    <w:p w:rsidR="000548B4" w:rsidRPr="00B03918" w:rsidRDefault="000548B4" w:rsidP="000548B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Obesità (HR aggiustato = 1.73;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>] 1.35-2.22, P =.0014)</w:t>
      </w:r>
    </w:p>
    <w:p w:rsidR="000548B4" w:rsidRPr="00B03918" w:rsidRDefault="000548B4" w:rsidP="000548B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proofErr w:type="spellStart"/>
      <w:r w:rsidRPr="00B03918">
        <w:rPr>
          <w:sz w:val="24"/>
          <w:szCs w:val="24"/>
          <w:lang w:val="it-IT"/>
        </w:rPr>
        <w:t>Coagulopatie</w:t>
      </w:r>
      <w:proofErr w:type="spellEnd"/>
      <w:r w:rsidRPr="00B03918">
        <w:rPr>
          <w:sz w:val="24"/>
          <w:szCs w:val="24"/>
          <w:lang w:val="it-IT"/>
        </w:rPr>
        <w:t xml:space="preserve"> (HR aggiustato = 1.58;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>] 1.24-2.01, P =.0188)</w:t>
      </w:r>
    </w:p>
    <w:p w:rsidR="000548B4" w:rsidRPr="00B03918" w:rsidRDefault="000548B4" w:rsidP="000548B4">
      <w:pPr>
        <w:pStyle w:val="Paragrafoelenco"/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Anemia pre-operatoria (HR aggiustato = 1.36;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 xml:space="preserve">] 1.15-1.62, P = .0347) </w:t>
      </w:r>
    </w:p>
    <w:p w:rsidR="000548B4" w:rsidRPr="00B03918" w:rsidRDefault="000548B4" w:rsidP="000548B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La top 5 fra le </w:t>
      </w:r>
      <w:proofErr w:type="spellStart"/>
      <w:r w:rsidRPr="00B03918">
        <w:rPr>
          <w:sz w:val="24"/>
          <w:szCs w:val="24"/>
          <w:lang w:val="it-IT"/>
        </w:rPr>
        <w:t>comorbidità</w:t>
      </w:r>
      <w:proofErr w:type="spellEnd"/>
      <w:r w:rsidRPr="00B03918">
        <w:rPr>
          <w:sz w:val="24"/>
          <w:szCs w:val="24"/>
          <w:lang w:val="it-IT"/>
        </w:rPr>
        <w:t xml:space="preserve"> per la mortalità a 90 giorni dal post-operatorio</w:t>
      </w:r>
      <w:r w:rsidR="00B903BB" w:rsidRPr="00B03918">
        <w:rPr>
          <w:sz w:val="24"/>
          <w:szCs w:val="24"/>
          <w:lang w:val="it-IT"/>
        </w:rPr>
        <w:t xml:space="preserve"> è rappresentata da</w:t>
      </w:r>
      <w:r w:rsidRPr="00B03918">
        <w:rPr>
          <w:sz w:val="24"/>
          <w:szCs w:val="24"/>
          <w:lang w:val="it-IT"/>
        </w:rPr>
        <w:t>:</w:t>
      </w:r>
    </w:p>
    <w:p w:rsidR="000548B4" w:rsidRPr="00B03918" w:rsidRDefault="000548B4" w:rsidP="000548B4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Insufficienza cardiaca congestizia (HR = 2.11;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 xml:space="preserve">] 1.76-2.52, P &lt; .0001) </w:t>
      </w:r>
    </w:p>
    <w:p w:rsidR="000548B4" w:rsidRPr="00B03918" w:rsidRDefault="000548B4" w:rsidP="000548B4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Cancro metastatico (HR = 3.14;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 xml:space="preserve">] 2.27-4.34, P &lt; .0001) </w:t>
      </w:r>
    </w:p>
    <w:p w:rsidR="000548B4" w:rsidRPr="00B03918" w:rsidRDefault="000548B4" w:rsidP="000548B4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Psicosi (HR =1.85;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>] 1.53-2.32, P &lt; .0001)</w:t>
      </w:r>
    </w:p>
    <w:p w:rsidR="008A08D5" w:rsidRPr="008A08D5" w:rsidRDefault="000548B4" w:rsidP="008A08D5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lastRenderedPageBreak/>
        <w:t>Malattie renali (HR = 1.98;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 xml:space="preserve">] 1.53-2.57, P &lt; .0001) </w:t>
      </w:r>
    </w:p>
    <w:p w:rsidR="000548B4" w:rsidRPr="00B03918" w:rsidRDefault="000548B4" w:rsidP="000548B4">
      <w:pPr>
        <w:pStyle w:val="Paragrafoelenco"/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>Demenza (HR = 2.04; 95% [</w:t>
      </w:r>
      <w:proofErr w:type="spellStart"/>
      <w:r w:rsidRPr="00B03918">
        <w:rPr>
          <w:sz w:val="24"/>
          <w:szCs w:val="24"/>
          <w:lang w:val="it-IT"/>
        </w:rPr>
        <w:t>CI</w:t>
      </w:r>
      <w:proofErr w:type="spellEnd"/>
      <w:r w:rsidRPr="00B03918">
        <w:rPr>
          <w:sz w:val="24"/>
          <w:szCs w:val="24"/>
          <w:lang w:val="it-IT"/>
        </w:rPr>
        <w:t xml:space="preserve">] 1.55-2.69, P &lt; .0001) </w:t>
      </w:r>
    </w:p>
    <w:p w:rsidR="000548B4" w:rsidRPr="00B03918" w:rsidRDefault="000548B4" w:rsidP="000548B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In generale, il 98% dei pazienti operati di artroplastica sopravvivono oltre la soglia dei 90 giorni. Inoltre, il 98,37% dei pazienti restano liberi da infezioni </w:t>
      </w:r>
      <w:proofErr w:type="spellStart"/>
      <w:r w:rsidRPr="00B03918">
        <w:rPr>
          <w:sz w:val="24"/>
          <w:szCs w:val="24"/>
          <w:lang w:val="it-IT"/>
        </w:rPr>
        <w:t>periprotesiche</w:t>
      </w:r>
      <w:proofErr w:type="spellEnd"/>
      <w:r w:rsidRPr="00B03918">
        <w:rPr>
          <w:sz w:val="24"/>
          <w:szCs w:val="24"/>
          <w:lang w:val="it-IT"/>
        </w:rPr>
        <w:t xml:space="preserve"> del femore dopo 1 anno. Le limitazioni dello studio identificate dagli Autori includono l’affidamento su dati amministrativi che potrebbero non essere sovrapponibili a quelli delle cartelle clini</w:t>
      </w:r>
      <w:r w:rsidR="00634EA0">
        <w:rPr>
          <w:sz w:val="24"/>
          <w:szCs w:val="24"/>
          <w:lang w:val="it-IT"/>
        </w:rPr>
        <w:t>che. Essi inoltre,</w:t>
      </w:r>
      <w:r w:rsidR="00B903BB" w:rsidRPr="00B03918">
        <w:rPr>
          <w:sz w:val="24"/>
          <w:szCs w:val="24"/>
          <w:lang w:val="it-IT"/>
        </w:rPr>
        <w:t xml:space="preserve"> hanno rilev</w:t>
      </w:r>
      <w:r w:rsidRPr="00B03918">
        <w:rPr>
          <w:sz w:val="24"/>
          <w:szCs w:val="24"/>
          <w:lang w:val="it-IT"/>
        </w:rPr>
        <w:t>ato c</w:t>
      </w:r>
      <w:r w:rsidR="00B903BB" w:rsidRPr="00B03918">
        <w:rPr>
          <w:sz w:val="24"/>
          <w:szCs w:val="24"/>
          <w:lang w:val="it-IT"/>
        </w:rPr>
        <w:t>he questo limite era stato attenu</w:t>
      </w:r>
      <w:r w:rsidRPr="00B03918">
        <w:rPr>
          <w:sz w:val="24"/>
          <w:szCs w:val="24"/>
          <w:lang w:val="it-IT"/>
        </w:rPr>
        <w:t xml:space="preserve">ato dall’ampia dimensione del campione e che le prevalenze delle condizioni di </w:t>
      </w:r>
      <w:proofErr w:type="spellStart"/>
      <w:r w:rsidRPr="00B03918">
        <w:rPr>
          <w:sz w:val="24"/>
          <w:szCs w:val="24"/>
          <w:lang w:val="it-IT"/>
        </w:rPr>
        <w:t>comorbidità</w:t>
      </w:r>
      <w:proofErr w:type="spellEnd"/>
      <w:r w:rsidRPr="00B03918">
        <w:rPr>
          <w:sz w:val="24"/>
          <w:szCs w:val="24"/>
          <w:lang w:val="it-IT"/>
        </w:rPr>
        <w:t xml:space="preserve"> selezionate erano simili a quelle riportate in altri studi basati sulla popolazione di pazienti operati di artroplastica del femore.</w:t>
      </w:r>
    </w:p>
    <w:p w:rsidR="000548B4" w:rsidRPr="00B03918" w:rsidRDefault="00B903BB" w:rsidP="000548B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William </w:t>
      </w:r>
      <w:proofErr w:type="spellStart"/>
      <w:r w:rsidRPr="00B03918">
        <w:rPr>
          <w:sz w:val="24"/>
          <w:szCs w:val="24"/>
          <w:lang w:val="it-IT"/>
        </w:rPr>
        <w:t>Robb</w:t>
      </w:r>
      <w:proofErr w:type="spellEnd"/>
      <w:r w:rsidRPr="00B03918">
        <w:rPr>
          <w:sz w:val="24"/>
          <w:szCs w:val="24"/>
          <w:lang w:val="it-IT"/>
        </w:rPr>
        <w:t xml:space="preserve"> III, Capo del Comitato della Salute del paziente dell’American </w:t>
      </w:r>
      <w:proofErr w:type="spellStart"/>
      <w:r w:rsidRPr="00B03918">
        <w:rPr>
          <w:sz w:val="24"/>
          <w:szCs w:val="24"/>
          <w:lang w:val="it-IT"/>
        </w:rPr>
        <w:t>Academy</w:t>
      </w:r>
      <w:proofErr w:type="spellEnd"/>
      <w:r w:rsidRPr="00B03918">
        <w:rPr>
          <w:sz w:val="24"/>
          <w:szCs w:val="24"/>
          <w:lang w:val="it-IT"/>
        </w:rPr>
        <w:t xml:space="preserve"> dei Chirurghi Ortopedici detto MEDSCAPE ha dichiarato: </w:t>
      </w:r>
      <w:r w:rsidR="000548B4" w:rsidRPr="00B03918">
        <w:rPr>
          <w:sz w:val="24"/>
          <w:szCs w:val="24"/>
          <w:lang w:val="it-IT"/>
        </w:rPr>
        <w:t xml:space="preserve">“Questo studio è unico rispetto a quelli ampiamente utilizzati dal database MEDICARE </w:t>
      </w:r>
      <w:r w:rsidRPr="00B03918">
        <w:rPr>
          <w:sz w:val="24"/>
          <w:szCs w:val="24"/>
          <w:lang w:val="it-IT"/>
        </w:rPr>
        <w:t>al fine di</w:t>
      </w:r>
      <w:r w:rsidR="000548B4" w:rsidRPr="00B03918">
        <w:rPr>
          <w:sz w:val="24"/>
          <w:szCs w:val="24"/>
          <w:lang w:val="it-IT"/>
        </w:rPr>
        <w:t xml:space="preserve"> osservare globalmente le tante complicanze e identificare alcune di quelle che hanno particolare interesse  in termini di previsione dell’infezione o in quel</w:t>
      </w:r>
      <w:r w:rsidRPr="00B03918">
        <w:rPr>
          <w:sz w:val="24"/>
          <w:szCs w:val="24"/>
          <w:lang w:val="it-IT"/>
        </w:rPr>
        <w:t xml:space="preserve">li di mortalità </w:t>
      </w:r>
      <w:proofErr w:type="spellStart"/>
      <w:r w:rsidRPr="00B03918">
        <w:rPr>
          <w:sz w:val="24"/>
          <w:szCs w:val="24"/>
          <w:lang w:val="it-IT"/>
        </w:rPr>
        <w:t>perioperatoria</w:t>
      </w:r>
      <w:proofErr w:type="spellEnd"/>
      <w:r w:rsidRPr="00B03918">
        <w:rPr>
          <w:sz w:val="24"/>
          <w:szCs w:val="24"/>
          <w:lang w:val="it-IT"/>
        </w:rPr>
        <w:t>”.</w:t>
      </w:r>
      <w:r w:rsidR="000548B4" w:rsidRPr="00B03918">
        <w:rPr>
          <w:sz w:val="24"/>
          <w:szCs w:val="24"/>
          <w:lang w:val="it-IT"/>
        </w:rPr>
        <w:t xml:space="preserve">Ha inoltre riferito che “la buona notizia è rappresentata dal fatto che questo studio comprova molti fattori di rischio che i fisiatri ben conoscono e, evidentemente molti pazienti comprendono altrettanto bene”. Ciò rafforza sia i fisiatri che i pazienti laddove esistano i fattori di rischio che il consenso informato ha focalizzato in modo che i pazienti comprendano il rischio che si assumono </w:t>
      </w:r>
      <w:r w:rsidR="00A30A3A">
        <w:rPr>
          <w:sz w:val="24"/>
          <w:szCs w:val="24"/>
          <w:lang w:val="it-IT"/>
        </w:rPr>
        <w:t xml:space="preserve">e </w:t>
      </w:r>
      <w:r w:rsidR="000548B4" w:rsidRPr="00B03918">
        <w:rPr>
          <w:sz w:val="24"/>
          <w:szCs w:val="24"/>
          <w:lang w:val="it-IT"/>
        </w:rPr>
        <w:t xml:space="preserve">che i fisiatri possono gestire meglio il decorso </w:t>
      </w:r>
      <w:proofErr w:type="spellStart"/>
      <w:r w:rsidR="000548B4" w:rsidRPr="00B03918">
        <w:rPr>
          <w:sz w:val="24"/>
          <w:szCs w:val="24"/>
          <w:lang w:val="it-IT"/>
        </w:rPr>
        <w:t>pre</w:t>
      </w:r>
      <w:proofErr w:type="spellEnd"/>
      <w:r w:rsidR="000548B4" w:rsidRPr="00B03918">
        <w:rPr>
          <w:sz w:val="24"/>
          <w:szCs w:val="24"/>
          <w:lang w:val="it-IT"/>
        </w:rPr>
        <w:t xml:space="preserve"> e post-operatorio.</w:t>
      </w:r>
    </w:p>
    <w:p w:rsidR="000548B4" w:rsidRPr="00B03918" w:rsidRDefault="000548B4" w:rsidP="000548B4">
      <w:pPr>
        <w:jc w:val="both"/>
        <w:rPr>
          <w:sz w:val="24"/>
          <w:szCs w:val="24"/>
          <w:lang w:val="it-IT"/>
        </w:rPr>
      </w:pPr>
      <w:r w:rsidRPr="00B03918">
        <w:rPr>
          <w:sz w:val="24"/>
          <w:szCs w:val="24"/>
          <w:lang w:val="it-IT"/>
        </w:rPr>
        <w:t xml:space="preserve">Lo studio è stato finanziato dalla </w:t>
      </w:r>
      <w:proofErr w:type="spellStart"/>
      <w:r w:rsidRPr="00B03918">
        <w:rPr>
          <w:sz w:val="24"/>
          <w:szCs w:val="24"/>
          <w:lang w:val="it-IT"/>
        </w:rPr>
        <w:t>Mayo</w:t>
      </w:r>
      <w:proofErr w:type="spellEnd"/>
      <w:r w:rsidRPr="00B03918">
        <w:rPr>
          <w:sz w:val="24"/>
          <w:szCs w:val="24"/>
          <w:lang w:val="it-IT"/>
        </w:rPr>
        <w:t xml:space="preserve"> Clinic; dall’Università della California, San Francisco e dal </w:t>
      </w:r>
      <w:proofErr w:type="spellStart"/>
      <w:r w:rsidRPr="00B03918">
        <w:rPr>
          <w:sz w:val="24"/>
          <w:szCs w:val="24"/>
          <w:lang w:val="it-IT"/>
        </w:rPr>
        <w:t>Gener</w:t>
      </w:r>
      <w:r w:rsidR="00B03918" w:rsidRPr="00B03918">
        <w:rPr>
          <w:sz w:val="24"/>
          <w:szCs w:val="24"/>
          <w:lang w:val="it-IT"/>
        </w:rPr>
        <w:t>al</w:t>
      </w:r>
      <w:proofErr w:type="spellEnd"/>
      <w:r w:rsidR="00B03918" w:rsidRPr="00B03918">
        <w:rPr>
          <w:sz w:val="24"/>
          <w:szCs w:val="24"/>
          <w:lang w:val="it-IT"/>
        </w:rPr>
        <w:t xml:space="preserve"> Hospital del Massachusetts </w:t>
      </w:r>
      <w:r w:rsidRPr="00B03918">
        <w:rPr>
          <w:sz w:val="24"/>
          <w:szCs w:val="24"/>
          <w:lang w:val="it-IT"/>
        </w:rPr>
        <w:t xml:space="preserve">e non hanno avuto alcun ruolo nell’investigazione. Il dottor </w:t>
      </w:r>
      <w:proofErr w:type="spellStart"/>
      <w:r w:rsidRPr="00B03918">
        <w:rPr>
          <w:sz w:val="24"/>
          <w:szCs w:val="24"/>
          <w:lang w:val="it-IT"/>
        </w:rPr>
        <w:t>Bozic</w:t>
      </w:r>
      <w:proofErr w:type="spellEnd"/>
      <w:r w:rsidRPr="00B03918">
        <w:rPr>
          <w:sz w:val="24"/>
          <w:szCs w:val="24"/>
          <w:lang w:val="it-IT"/>
        </w:rPr>
        <w:t xml:space="preserve"> ha svolto la funzione di consulente presso la </w:t>
      </w:r>
      <w:proofErr w:type="spellStart"/>
      <w:r w:rsidRPr="00B03918">
        <w:rPr>
          <w:sz w:val="24"/>
          <w:szCs w:val="24"/>
          <w:lang w:val="it-IT"/>
        </w:rPr>
        <w:t>United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Healthcare</w:t>
      </w:r>
      <w:proofErr w:type="spellEnd"/>
      <w:r w:rsidRPr="00B03918">
        <w:rPr>
          <w:sz w:val="24"/>
          <w:szCs w:val="24"/>
          <w:lang w:val="it-IT"/>
        </w:rPr>
        <w:t xml:space="preserve">, la </w:t>
      </w:r>
      <w:proofErr w:type="spellStart"/>
      <w:r w:rsidRPr="00B03918">
        <w:rPr>
          <w:sz w:val="24"/>
          <w:szCs w:val="24"/>
          <w:lang w:val="it-IT"/>
        </w:rPr>
        <w:t>Blue</w:t>
      </w:r>
      <w:proofErr w:type="spellEnd"/>
      <w:r w:rsidRPr="00B03918">
        <w:rPr>
          <w:sz w:val="24"/>
          <w:szCs w:val="24"/>
          <w:lang w:val="it-IT"/>
        </w:rPr>
        <w:t xml:space="preserve"> Cross </w:t>
      </w:r>
      <w:proofErr w:type="spellStart"/>
      <w:r w:rsidRPr="00B03918">
        <w:rPr>
          <w:sz w:val="24"/>
          <w:szCs w:val="24"/>
          <w:lang w:val="it-IT"/>
        </w:rPr>
        <w:t>Blue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Shield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Association</w:t>
      </w:r>
      <w:proofErr w:type="spellEnd"/>
      <w:r w:rsidRPr="00B03918">
        <w:rPr>
          <w:sz w:val="24"/>
          <w:szCs w:val="24"/>
          <w:lang w:val="it-IT"/>
        </w:rPr>
        <w:t xml:space="preserve">, </w:t>
      </w:r>
      <w:proofErr w:type="spellStart"/>
      <w:r w:rsidRPr="00B03918">
        <w:rPr>
          <w:sz w:val="24"/>
          <w:szCs w:val="24"/>
          <w:lang w:val="it-IT"/>
        </w:rPr>
        <w:t>Integrated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Healthcare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Association</w:t>
      </w:r>
      <w:proofErr w:type="spellEnd"/>
      <w:r w:rsidRPr="00B03918">
        <w:rPr>
          <w:sz w:val="24"/>
          <w:szCs w:val="24"/>
          <w:lang w:val="it-IT"/>
        </w:rPr>
        <w:t xml:space="preserve">, </w:t>
      </w:r>
      <w:proofErr w:type="spellStart"/>
      <w:r w:rsidRPr="00B03918">
        <w:rPr>
          <w:sz w:val="24"/>
          <w:szCs w:val="24"/>
          <w:lang w:val="it-IT"/>
        </w:rPr>
        <w:t>Pacific</w:t>
      </w:r>
      <w:proofErr w:type="spellEnd"/>
      <w:r w:rsidRPr="00B03918">
        <w:rPr>
          <w:sz w:val="24"/>
          <w:szCs w:val="24"/>
          <w:lang w:val="it-IT"/>
        </w:rPr>
        <w:t xml:space="preserve"> Business Group on </w:t>
      </w:r>
      <w:proofErr w:type="spellStart"/>
      <w:r w:rsidRPr="00B03918">
        <w:rPr>
          <w:sz w:val="24"/>
          <w:szCs w:val="24"/>
          <w:lang w:val="it-IT"/>
        </w:rPr>
        <w:t>Health</w:t>
      </w:r>
      <w:proofErr w:type="spellEnd"/>
      <w:r w:rsidRPr="00B03918">
        <w:rPr>
          <w:sz w:val="24"/>
          <w:szCs w:val="24"/>
          <w:lang w:val="it-IT"/>
        </w:rPr>
        <w:t xml:space="preserve">, </w:t>
      </w:r>
      <w:proofErr w:type="spellStart"/>
      <w:r w:rsidRPr="00B03918">
        <w:rPr>
          <w:sz w:val="24"/>
          <w:szCs w:val="24"/>
          <w:lang w:val="it-IT"/>
        </w:rPr>
        <w:t>Centers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for</w:t>
      </w:r>
      <w:proofErr w:type="spellEnd"/>
      <w:r w:rsidRPr="00B03918">
        <w:rPr>
          <w:sz w:val="24"/>
          <w:szCs w:val="24"/>
          <w:lang w:val="it-IT"/>
        </w:rPr>
        <w:t xml:space="preserve"> Medicare &amp; </w:t>
      </w:r>
      <w:proofErr w:type="spellStart"/>
      <w:r w:rsidRPr="00B03918">
        <w:rPr>
          <w:sz w:val="24"/>
          <w:szCs w:val="24"/>
          <w:lang w:val="it-IT"/>
        </w:rPr>
        <w:t>Medicaid</w:t>
      </w:r>
      <w:proofErr w:type="spellEnd"/>
      <w:r w:rsidRPr="00B03918">
        <w:rPr>
          <w:sz w:val="24"/>
          <w:szCs w:val="24"/>
          <w:lang w:val="it-IT"/>
        </w:rPr>
        <w:t xml:space="preserve"> </w:t>
      </w:r>
      <w:proofErr w:type="spellStart"/>
      <w:r w:rsidRPr="00B03918">
        <w:rPr>
          <w:sz w:val="24"/>
          <w:szCs w:val="24"/>
          <w:lang w:val="it-IT"/>
        </w:rPr>
        <w:t>Services</w:t>
      </w:r>
      <w:proofErr w:type="spellEnd"/>
      <w:r w:rsidRPr="00B03918">
        <w:rPr>
          <w:sz w:val="24"/>
          <w:szCs w:val="24"/>
          <w:lang w:val="it-IT"/>
        </w:rPr>
        <w:t xml:space="preserve"> e </w:t>
      </w:r>
      <w:proofErr w:type="spellStart"/>
      <w:r w:rsidRPr="00B03918">
        <w:rPr>
          <w:sz w:val="24"/>
          <w:szCs w:val="24"/>
          <w:lang w:val="it-IT"/>
        </w:rPr>
        <w:t>Ingenix</w:t>
      </w:r>
      <w:proofErr w:type="spellEnd"/>
      <w:r w:rsidRPr="00B03918">
        <w:rPr>
          <w:sz w:val="24"/>
          <w:szCs w:val="24"/>
          <w:lang w:val="it-IT"/>
        </w:rPr>
        <w:t>.</w:t>
      </w:r>
    </w:p>
    <w:p w:rsidR="0092724F" w:rsidRPr="00665904" w:rsidRDefault="000548B4" w:rsidP="00665904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</w:p>
    <w:p w:rsidR="0080430E" w:rsidRPr="00665904" w:rsidRDefault="0080430E" w:rsidP="0080430E">
      <w:pPr>
        <w:jc w:val="both"/>
        <w:rPr>
          <w:sz w:val="28"/>
          <w:szCs w:val="28"/>
          <w:lang w:val="it-IT"/>
        </w:rPr>
      </w:pPr>
      <w:r w:rsidRPr="00665904">
        <w:rPr>
          <w:sz w:val="28"/>
          <w:szCs w:val="28"/>
          <w:lang w:val="it-IT"/>
        </w:rPr>
        <w:t xml:space="preserve"> </w:t>
      </w:r>
      <w:r w:rsidR="008A08D5" w:rsidRPr="008A08D5">
        <w:rPr>
          <w:i/>
          <w:noProof/>
          <w:sz w:val="28"/>
          <w:szCs w:val="28"/>
          <w:lang w:val="it-IT" w:eastAsia="it-IT" w:bidi="ar-SA"/>
        </w:rPr>
        <w:drawing>
          <wp:inline distT="0" distB="0" distL="0" distR="0">
            <wp:extent cx="6696710" cy="746618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746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0E" w:rsidRPr="00665904" w:rsidRDefault="0080430E" w:rsidP="0080430E">
      <w:pPr>
        <w:jc w:val="both"/>
        <w:rPr>
          <w:lang w:val="it-IT"/>
        </w:rPr>
      </w:pPr>
      <w:r w:rsidRPr="00665904">
        <w:rPr>
          <w:lang w:val="it-IT"/>
        </w:rPr>
        <w:t xml:space="preserve"> </w:t>
      </w:r>
    </w:p>
    <w:sectPr w:rsidR="0080430E" w:rsidRPr="00665904" w:rsidSect="004C202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0CD6"/>
    <w:multiLevelType w:val="hybridMultilevel"/>
    <w:tmpl w:val="67C80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28E3"/>
    <w:multiLevelType w:val="hybridMultilevel"/>
    <w:tmpl w:val="8C760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0430E"/>
    <w:rsid w:val="000114A6"/>
    <w:rsid w:val="00013E0E"/>
    <w:rsid w:val="000548B4"/>
    <w:rsid w:val="000F7227"/>
    <w:rsid w:val="00384296"/>
    <w:rsid w:val="00391350"/>
    <w:rsid w:val="003F2E81"/>
    <w:rsid w:val="004C2025"/>
    <w:rsid w:val="00634EA0"/>
    <w:rsid w:val="00642C8B"/>
    <w:rsid w:val="00665904"/>
    <w:rsid w:val="00744C18"/>
    <w:rsid w:val="0075608D"/>
    <w:rsid w:val="0080430E"/>
    <w:rsid w:val="008A08D5"/>
    <w:rsid w:val="0092724F"/>
    <w:rsid w:val="00993E67"/>
    <w:rsid w:val="00A16183"/>
    <w:rsid w:val="00A30A3A"/>
    <w:rsid w:val="00AE1AF5"/>
    <w:rsid w:val="00B03918"/>
    <w:rsid w:val="00B903BB"/>
    <w:rsid w:val="00D3155D"/>
    <w:rsid w:val="00D96353"/>
    <w:rsid w:val="00E966F3"/>
    <w:rsid w:val="00F8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1AF5"/>
  </w:style>
  <w:style w:type="paragraph" w:styleId="Titolo1">
    <w:name w:val="heading 1"/>
    <w:basedOn w:val="Normale"/>
    <w:next w:val="Normale"/>
    <w:link w:val="Titolo1Carattere"/>
    <w:uiPriority w:val="9"/>
    <w:qFormat/>
    <w:rsid w:val="00AE1AF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1AF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1AF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1AF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1AF5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1AF5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1AF5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1AF5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1AF5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1AF5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1AF5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1AF5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1AF5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1AF5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1AF5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1AF5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1AF5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1AF5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E1AF5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1AF5"/>
    <w:pPr>
      <w:pBdr>
        <w:top w:val="single" w:sz="12" w:space="1" w:color="C0504D" w:themeColor="accent2"/>
      </w:pBdr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AE1AF5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1AF5"/>
    <w:pPr>
      <w:spacing w:after="720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1AF5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AE1AF5"/>
    <w:rPr>
      <w:b/>
      <w:color w:val="C0504D" w:themeColor="accent2"/>
    </w:rPr>
  </w:style>
  <w:style w:type="character" w:styleId="Enfasicorsivo">
    <w:name w:val="Emphasis"/>
    <w:uiPriority w:val="20"/>
    <w:qFormat/>
    <w:rsid w:val="00AE1AF5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AE1AF5"/>
    <w:pPr>
      <w:spacing w:after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1AF5"/>
  </w:style>
  <w:style w:type="paragraph" w:styleId="Paragrafoelenco">
    <w:name w:val="List Paragraph"/>
    <w:basedOn w:val="Normale"/>
    <w:uiPriority w:val="34"/>
    <w:qFormat/>
    <w:rsid w:val="00AE1AF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E1AF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1AF5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1AF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1AF5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AE1AF5"/>
    <w:rPr>
      <w:i/>
    </w:rPr>
  </w:style>
  <w:style w:type="character" w:styleId="Enfasiintensa">
    <w:name w:val="Intense Emphasis"/>
    <w:uiPriority w:val="21"/>
    <w:qFormat/>
    <w:rsid w:val="00AE1AF5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AE1AF5"/>
    <w:rPr>
      <w:b/>
    </w:rPr>
  </w:style>
  <w:style w:type="character" w:styleId="Riferimentointenso">
    <w:name w:val="Intense Reference"/>
    <w:uiPriority w:val="32"/>
    <w:qFormat/>
    <w:rsid w:val="00AE1AF5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AE1AF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1AF5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8D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Napolano</dc:creator>
  <cp:keywords/>
  <dc:description/>
  <cp:lastModifiedBy>Rosa Napolano</cp:lastModifiedBy>
  <cp:revision>4</cp:revision>
  <dcterms:created xsi:type="dcterms:W3CDTF">2012-09-09T13:00:00Z</dcterms:created>
  <dcterms:modified xsi:type="dcterms:W3CDTF">2012-09-10T05:12:00Z</dcterms:modified>
</cp:coreProperties>
</file>